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80CB" w14:textId="02B27B5C" w:rsidR="00733023" w:rsidRDefault="00733023" w:rsidP="001C3FD0">
      <w:pPr>
        <w:adjustRightInd w:val="0"/>
        <w:snapToGrid w:val="0"/>
        <w:spacing w:line="360" w:lineRule="auto"/>
        <w:rPr>
          <w:rFonts w:hint="eastAsia"/>
        </w:rPr>
      </w:pPr>
    </w:p>
    <w:p w14:paraId="6BA41F21" w14:textId="2B3DC250" w:rsidR="001C3FD0" w:rsidRPr="001C3FD0" w:rsidRDefault="001C3FD0" w:rsidP="001C3FD0">
      <w:pPr>
        <w:widowControl/>
        <w:adjustRightInd w:val="0"/>
        <w:snapToGrid w:val="0"/>
        <w:spacing w:line="360" w:lineRule="auto"/>
        <w:jc w:val="center"/>
        <w:rPr>
          <w:rFonts w:ascii="微软雅黑" w:eastAsia="微软雅黑" w:hAnsi="微软雅黑" w:cs="宋体"/>
          <w:color w:val="000000"/>
          <w:kern w:val="0"/>
          <w:sz w:val="26"/>
          <w:szCs w:val="26"/>
        </w:rPr>
      </w:pPr>
      <w:r w:rsidRPr="001C3FD0">
        <w:rPr>
          <w:rFonts w:ascii="宋体" w:eastAsia="宋体" w:hAnsi="宋体" w:cs="宋体" w:hint="eastAsia"/>
          <w:b/>
          <w:bCs/>
          <w:color w:val="595959"/>
          <w:kern w:val="0"/>
          <w:sz w:val="32"/>
          <w:szCs w:val="32"/>
        </w:rPr>
        <w:t>关于优化营商环境完善破产程序配套金融服务若干问题的纪要</w:t>
      </w:r>
      <w:r w:rsidRPr="001C3FD0">
        <w:rPr>
          <w:rFonts w:ascii="宋体" w:eastAsia="宋体" w:hAnsi="宋体" w:cs="宋体" w:hint="eastAsia"/>
          <w:b/>
          <w:bCs/>
          <w:color w:val="595959"/>
          <w:kern w:val="0"/>
          <w:sz w:val="32"/>
          <w:szCs w:val="32"/>
        </w:rPr>
        <w:br/>
      </w:r>
      <w:r>
        <w:rPr>
          <w:rFonts w:ascii="宋体" w:eastAsia="宋体" w:hAnsi="宋体" w:cs="宋体" w:hint="eastAsia"/>
          <w:color w:val="595959"/>
          <w:kern w:val="0"/>
          <w:sz w:val="24"/>
          <w:szCs w:val="24"/>
        </w:rPr>
        <w:t xml:space="preserve"> </w:t>
      </w:r>
      <w:r>
        <w:rPr>
          <w:rFonts w:ascii="宋体" w:eastAsia="宋体" w:hAnsi="宋体" w:cs="宋体"/>
          <w:color w:val="595959"/>
          <w:kern w:val="0"/>
          <w:sz w:val="24"/>
          <w:szCs w:val="24"/>
        </w:rPr>
        <w:t xml:space="preserve">   </w:t>
      </w:r>
      <w:r w:rsidRPr="001C3FD0">
        <w:rPr>
          <w:rFonts w:ascii="宋体" w:eastAsia="宋体" w:hAnsi="宋体" w:cs="宋体" w:hint="eastAsia"/>
          <w:color w:val="595959"/>
          <w:kern w:val="0"/>
          <w:sz w:val="24"/>
          <w:szCs w:val="24"/>
        </w:rPr>
        <w:t>为贯彻国家发展改革委、最高人民法院、中国人民银行、中国银保监会等十三部门《关于推动和保障管理人在破产程序中依法履职进一步优化营商环境的意见》（</w:t>
      </w:r>
      <w:proofErr w:type="gramStart"/>
      <w:r w:rsidRPr="001C3FD0">
        <w:rPr>
          <w:rFonts w:ascii="宋体" w:eastAsia="宋体" w:hAnsi="宋体" w:cs="宋体" w:hint="eastAsia"/>
          <w:color w:val="595959"/>
          <w:kern w:val="0"/>
          <w:sz w:val="24"/>
          <w:szCs w:val="24"/>
        </w:rPr>
        <w:t>发改财金规</w:t>
      </w:r>
      <w:proofErr w:type="gramEnd"/>
      <w:r w:rsidRPr="001C3FD0">
        <w:rPr>
          <w:rFonts w:ascii="宋体" w:eastAsia="宋体" w:hAnsi="宋体" w:cs="宋体" w:hint="eastAsia"/>
          <w:color w:val="595959"/>
          <w:kern w:val="0"/>
          <w:sz w:val="24"/>
          <w:szCs w:val="24"/>
        </w:rPr>
        <w:t>〔2021〕274号）和浙江省高级人民法院、中国人民银行杭州中心支行、浙江银保监局等十五部门《关于印发浙江省优化营商环境办理破产便利化行动方案的通知》（浙高法〔2019〕139号）精神，坚持破产审判市场化、法治化理念，依法积极稳妥处置企业风险，优化破产审判与金融监管、金融服务的衔接，</w:t>
      </w:r>
      <w:r w:rsidRPr="001C3FD0">
        <w:rPr>
          <w:rFonts w:ascii="宋体" w:eastAsia="宋体" w:hAnsi="宋体" w:cs="宋体" w:hint="eastAsia"/>
          <w:b/>
          <w:bCs/>
          <w:color w:val="595959"/>
          <w:kern w:val="0"/>
          <w:sz w:val="24"/>
          <w:szCs w:val="24"/>
        </w:rPr>
        <w:t>浙江省高级人民法院、中国人民银行杭州中心支行和浙江银保监局根据国家法律政策和自身职能定位，经过充分研究协商，就优化营商环境完善与破产程序相配套的金融服务若干问题达成共识</w:t>
      </w:r>
      <w:r w:rsidRPr="001C3FD0">
        <w:rPr>
          <w:rFonts w:ascii="宋体" w:eastAsia="宋体" w:hAnsi="宋体" w:cs="宋体" w:hint="eastAsia"/>
          <w:color w:val="595959"/>
          <w:kern w:val="0"/>
          <w:sz w:val="24"/>
          <w:szCs w:val="24"/>
        </w:rPr>
        <w:t>，纪要如下。</w:t>
      </w:r>
    </w:p>
    <w:p w14:paraId="124B2D1A" w14:textId="77777777" w:rsidR="001C3FD0" w:rsidRPr="001C3FD0" w:rsidRDefault="001C3FD0" w:rsidP="001C3FD0">
      <w:pPr>
        <w:widowControl/>
        <w:adjustRightInd w:val="0"/>
        <w:snapToGrid w:val="0"/>
        <w:spacing w:line="360" w:lineRule="auto"/>
        <w:jc w:val="left"/>
        <w:rPr>
          <w:rFonts w:ascii="宋体" w:eastAsia="宋体" w:hAnsi="宋体" w:cs="宋体" w:hint="eastAsia"/>
          <w:kern w:val="0"/>
          <w:sz w:val="24"/>
          <w:szCs w:val="24"/>
        </w:rPr>
      </w:pPr>
    </w:p>
    <w:p w14:paraId="690DF883" w14:textId="77777777" w:rsidR="001C3FD0" w:rsidRPr="001C3FD0" w:rsidRDefault="001C3FD0" w:rsidP="001C3FD0">
      <w:pPr>
        <w:widowControl/>
        <w:adjustRightInd w:val="0"/>
        <w:snapToGrid w:val="0"/>
        <w:spacing w:line="360" w:lineRule="auto"/>
        <w:ind w:firstLine="480"/>
        <w:jc w:val="left"/>
        <w:rPr>
          <w:rFonts w:ascii="宋体" w:eastAsia="宋体" w:hAnsi="宋体" w:cs="宋体"/>
          <w:kern w:val="0"/>
          <w:sz w:val="24"/>
          <w:szCs w:val="24"/>
        </w:rPr>
      </w:pPr>
      <w:r w:rsidRPr="001C3FD0">
        <w:rPr>
          <w:rFonts w:ascii="宋体" w:eastAsia="宋体" w:hAnsi="宋体" w:cs="宋体" w:hint="eastAsia"/>
          <w:b/>
          <w:bCs/>
          <w:kern w:val="0"/>
          <w:sz w:val="24"/>
          <w:szCs w:val="24"/>
        </w:rPr>
        <w:t>一、账户管理</w:t>
      </w:r>
    </w:p>
    <w:p w14:paraId="5803B106"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第一条</w:t>
      </w:r>
      <w:r w:rsidRPr="001C3FD0">
        <w:rPr>
          <w:rFonts w:ascii="宋体" w:eastAsia="宋体" w:hAnsi="宋体" w:cs="宋体" w:hint="eastAsia"/>
          <w:color w:val="595959"/>
          <w:spacing w:val="23"/>
          <w:kern w:val="0"/>
          <w:sz w:val="24"/>
          <w:szCs w:val="24"/>
        </w:rPr>
        <w:t>  管理人可以凭人民法院破产申请受理裁定书、指定管理人决定书及管理人负责人身份证材料，向银行申请开立管理人账户。鼓励有条件的银行适当减免管理人账户开立使用的相关费用，优化账户展期手续办理流程，并在账户有效期届满前及时通知管理人。</w:t>
      </w:r>
    </w:p>
    <w:p w14:paraId="20AB218D"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color w:val="595959"/>
          <w:spacing w:val="23"/>
          <w:kern w:val="0"/>
          <w:sz w:val="24"/>
          <w:szCs w:val="24"/>
        </w:rPr>
        <w:t>管理人账户期限根据管理人的申请期限设定，但最长不得超过2年。管理人账户有效期届满需续展的，应当及时向开户银行提出展期申请。管理人终止执行职务后，应及时办理管理账户注销手续。</w:t>
      </w:r>
    </w:p>
    <w:p w14:paraId="6032E70D"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color w:val="595959"/>
          <w:spacing w:val="23"/>
          <w:kern w:val="0"/>
          <w:sz w:val="24"/>
          <w:szCs w:val="24"/>
        </w:rPr>
        <w:t>根据管理人的申请，银行可以为管理人账户开通网上银行服务。如破产程序中涉及外汇业务的，金融机构可根据管理人的申请开设外汇账户。</w:t>
      </w:r>
    </w:p>
    <w:p w14:paraId="1BD6CCD8"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第二条</w:t>
      </w:r>
      <w:r w:rsidRPr="001C3FD0">
        <w:rPr>
          <w:rFonts w:ascii="宋体" w:eastAsia="宋体" w:hAnsi="宋体" w:cs="宋体" w:hint="eastAsia"/>
          <w:color w:val="595959"/>
          <w:spacing w:val="23"/>
          <w:kern w:val="0"/>
          <w:sz w:val="24"/>
          <w:szCs w:val="24"/>
        </w:rPr>
        <w:t>  管理人可以凭人民法院破产申请受理裁定书、指定管理人决定书接管破产企业账户，依法办理破产企业账户资金划转。</w:t>
      </w:r>
    </w:p>
    <w:p w14:paraId="1A7D3C42"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lastRenderedPageBreak/>
        <w:t>第三条</w:t>
      </w:r>
      <w:r w:rsidRPr="001C3FD0">
        <w:rPr>
          <w:rFonts w:ascii="宋体" w:eastAsia="宋体" w:hAnsi="宋体" w:cs="宋体" w:hint="eastAsia"/>
          <w:color w:val="595959"/>
          <w:spacing w:val="23"/>
          <w:kern w:val="0"/>
          <w:sz w:val="24"/>
          <w:szCs w:val="24"/>
        </w:rPr>
        <w:t>  管理人可以凭人民法院破产申请受理裁定书、指定管理人决定书向金融机构查询破产企业在金融机构的账户冻结状态、交易明细、征信信息等。</w:t>
      </w:r>
    </w:p>
    <w:p w14:paraId="517D75E2"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color w:val="595959"/>
          <w:spacing w:val="23"/>
          <w:kern w:val="0"/>
          <w:sz w:val="24"/>
          <w:szCs w:val="24"/>
        </w:rPr>
        <w:t>如需查询破产企业关联企业的征信报告，管理人持人民法院受理破产申请裁定书、指定管理人决定书和人民法院调查令，到当地人民银行查询。</w:t>
      </w:r>
    </w:p>
    <w:p w14:paraId="55204AFF"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color w:val="595959"/>
          <w:spacing w:val="23"/>
          <w:kern w:val="0"/>
          <w:sz w:val="24"/>
          <w:szCs w:val="24"/>
        </w:rPr>
        <w:t>本条前述信息如以电子形式存在的，管理人可以请求金融机构提供电子形式的信息。</w:t>
      </w:r>
    </w:p>
    <w:p w14:paraId="52EA080E"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color w:val="595959"/>
          <w:spacing w:val="23"/>
          <w:kern w:val="0"/>
          <w:sz w:val="24"/>
          <w:szCs w:val="24"/>
        </w:rPr>
        <w:t>人民法院和管理人应充分保障金融机构债权人的知情权、表决权和监督权。人民法院督促管理人为金融机构债权人查询财产状况报告、债权人会议决议、债权人委员会决议等参与破产程序所必需的资料提供便利。金融机构债权人应尽到保密义务，未经管理人同意，不得向任何第三人泄露查询得知的信息。</w:t>
      </w:r>
    </w:p>
    <w:p w14:paraId="7743DEBE"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第四条</w:t>
      </w:r>
      <w:r w:rsidRPr="001C3FD0">
        <w:rPr>
          <w:rFonts w:ascii="宋体" w:eastAsia="宋体" w:hAnsi="宋体" w:cs="宋体" w:hint="eastAsia"/>
          <w:color w:val="595959"/>
          <w:spacing w:val="23"/>
          <w:kern w:val="0"/>
          <w:sz w:val="24"/>
          <w:szCs w:val="24"/>
        </w:rPr>
        <w:t>  人民法院受理破产案件后，金融机构应根据《中华人民共和国企业破产法》第十九条依法解除破产企业账户冻结。</w:t>
      </w:r>
    </w:p>
    <w:p w14:paraId="01C5212E"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color w:val="595959"/>
          <w:spacing w:val="23"/>
          <w:kern w:val="0"/>
          <w:sz w:val="24"/>
          <w:szCs w:val="24"/>
        </w:rPr>
        <w:t>管理人可以凭人民法院破产申请受理裁定书、指定管理人决定书向金融机构申请解除账户冻结。</w:t>
      </w:r>
    </w:p>
    <w:p w14:paraId="02968275"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第五条</w:t>
      </w:r>
      <w:r w:rsidRPr="001C3FD0">
        <w:rPr>
          <w:rFonts w:ascii="宋体" w:eastAsia="宋体" w:hAnsi="宋体" w:cs="宋体" w:hint="eastAsia"/>
          <w:color w:val="595959"/>
          <w:spacing w:val="23"/>
          <w:kern w:val="0"/>
          <w:sz w:val="24"/>
          <w:szCs w:val="24"/>
        </w:rPr>
        <w:t>  人民法院受理破产案件后，可以督促管理人及时办理破产企业账户注销手续，开户行应配合办理注销手续。</w:t>
      </w:r>
    </w:p>
    <w:p w14:paraId="63178471"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第六条</w:t>
      </w:r>
      <w:r w:rsidRPr="001C3FD0">
        <w:rPr>
          <w:rFonts w:ascii="宋体" w:eastAsia="宋体" w:hAnsi="宋体" w:cs="宋体" w:hint="eastAsia"/>
          <w:color w:val="595959"/>
          <w:spacing w:val="23"/>
          <w:kern w:val="0"/>
          <w:sz w:val="24"/>
          <w:szCs w:val="24"/>
        </w:rPr>
        <w:t>  破产企业重整成功的，可以凭人民法院批准重整计划裁定书向金融机构申请撤销破产企业原账户并开立新账户，保障重整后企业的正常经营活动。</w:t>
      </w:r>
    </w:p>
    <w:p w14:paraId="1840CDE6" w14:textId="77777777" w:rsidR="001C3FD0" w:rsidRPr="001C3FD0" w:rsidRDefault="001C3FD0" w:rsidP="001C3FD0">
      <w:pPr>
        <w:widowControl/>
        <w:adjustRightInd w:val="0"/>
        <w:snapToGrid w:val="0"/>
        <w:spacing w:line="360" w:lineRule="auto"/>
        <w:ind w:firstLine="480"/>
        <w:jc w:val="left"/>
        <w:rPr>
          <w:rFonts w:ascii="宋体" w:eastAsia="宋体" w:hAnsi="宋体" w:cs="宋体"/>
          <w:kern w:val="0"/>
          <w:sz w:val="24"/>
          <w:szCs w:val="24"/>
        </w:rPr>
      </w:pPr>
      <w:r w:rsidRPr="001C3FD0">
        <w:rPr>
          <w:rFonts w:ascii="宋体" w:eastAsia="宋体" w:hAnsi="宋体" w:cs="宋体" w:hint="eastAsia"/>
          <w:color w:val="595959"/>
          <w:kern w:val="0"/>
          <w:sz w:val="24"/>
          <w:szCs w:val="24"/>
        </w:rPr>
        <w:br/>
      </w:r>
    </w:p>
    <w:p w14:paraId="09279D24" w14:textId="77777777" w:rsidR="001C3FD0" w:rsidRPr="001C3FD0" w:rsidRDefault="001C3FD0" w:rsidP="001C3FD0">
      <w:pPr>
        <w:widowControl/>
        <w:adjustRightInd w:val="0"/>
        <w:snapToGrid w:val="0"/>
        <w:spacing w:line="360" w:lineRule="auto"/>
        <w:ind w:firstLine="480"/>
        <w:jc w:val="left"/>
        <w:rPr>
          <w:rFonts w:ascii="宋体" w:eastAsia="宋体" w:hAnsi="宋体" w:cs="宋体"/>
          <w:kern w:val="0"/>
          <w:sz w:val="24"/>
          <w:szCs w:val="24"/>
        </w:rPr>
      </w:pPr>
      <w:r w:rsidRPr="001C3FD0">
        <w:rPr>
          <w:rFonts w:ascii="宋体" w:eastAsia="宋体" w:hAnsi="宋体" w:cs="宋体" w:hint="eastAsia"/>
          <w:b/>
          <w:bCs/>
          <w:kern w:val="0"/>
          <w:sz w:val="27"/>
          <w:szCs w:val="27"/>
        </w:rPr>
        <w:t>二、破产财产处置与分配</w:t>
      </w:r>
    </w:p>
    <w:p w14:paraId="4FC4247A" w14:textId="77777777" w:rsidR="001C3FD0" w:rsidRPr="001C3FD0" w:rsidRDefault="001C3FD0" w:rsidP="001C3FD0">
      <w:pPr>
        <w:widowControl/>
        <w:adjustRightInd w:val="0"/>
        <w:snapToGrid w:val="0"/>
        <w:spacing w:line="360" w:lineRule="auto"/>
        <w:ind w:firstLine="480"/>
        <w:jc w:val="left"/>
        <w:rPr>
          <w:rFonts w:ascii="宋体" w:eastAsia="宋体" w:hAnsi="宋体" w:cs="宋体"/>
          <w:kern w:val="0"/>
          <w:sz w:val="24"/>
          <w:szCs w:val="24"/>
        </w:rPr>
      </w:pPr>
      <w:r w:rsidRPr="001C3FD0">
        <w:rPr>
          <w:rFonts w:ascii="宋体" w:eastAsia="宋体" w:hAnsi="宋体" w:cs="宋体" w:hint="eastAsia"/>
          <w:b/>
          <w:bCs/>
          <w:color w:val="595959"/>
          <w:kern w:val="0"/>
          <w:sz w:val="24"/>
          <w:szCs w:val="24"/>
        </w:rPr>
        <w:t>第七条</w:t>
      </w:r>
      <w:r w:rsidRPr="001C3FD0">
        <w:rPr>
          <w:rFonts w:ascii="宋体" w:eastAsia="宋体" w:hAnsi="宋体" w:cs="宋体" w:hint="eastAsia"/>
          <w:color w:val="595959"/>
          <w:kern w:val="0"/>
          <w:sz w:val="24"/>
          <w:szCs w:val="24"/>
        </w:rPr>
        <w:t>  银保监局应当鼓励金融机构积极高效行使表决权，协助配合推进破产程序；鼓励金融机构下放审批权限、简化审批流程，优化审批标准。</w:t>
      </w:r>
    </w:p>
    <w:p w14:paraId="32B83137"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color w:val="595959"/>
          <w:spacing w:val="23"/>
          <w:kern w:val="0"/>
          <w:sz w:val="24"/>
          <w:szCs w:val="24"/>
        </w:rPr>
        <w:lastRenderedPageBreak/>
        <w:t>清算或重整方案应当充分考虑金融机构债权维护，金融机构债权不能得到全部清偿的，应充分协商和沟通，争取达成共识。</w:t>
      </w:r>
    </w:p>
    <w:p w14:paraId="5F44DD1A"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color w:val="595959"/>
          <w:spacing w:val="23"/>
          <w:kern w:val="0"/>
          <w:sz w:val="24"/>
          <w:szCs w:val="24"/>
        </w:rPr>
        <w:t>国有及国有控股金融机构作为债权人参与破产程序的，应正确处理国有资产保护与正常商业风险之间的关系，不简单将债权不能得到全部清偿而反对清算或重整方案。</w:t>
      </w:r>
    </w:p>
    <w:p w14:paraId="6FE30B47"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第八条</w:t>
      </w:r>
      <w:r w:rsidRPr="001C3FD0">
        <w:rPr>
          <w:rFonts w:ascii="宋体" w:eastAsia="宋体" w:hAnsi="宋体" w:cs="宋体" w:hint="eastAsia"/>
          <w:color w:val="595959"/>
          <w:spacing w:val="23"/>
          <w:kern w:val="0"/>
          <w:sz w:val="24"/>
          <w:szCs w:val="24"/>
        </w:rPr>
        <w:t>  人民法院应督促管理人依法及时处置破产财产。处置破产财产所得价款，依照《企业破产法》第一百零九条，对破产人的特定财产享有担保权的权利人，对该特定财产享有优先受偿的权利。</w:t>
      </w:r>
    </w:p>
    <w:p w14:paraId="7434A504"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color w:val="595959"/>
          <w:spacing w:val="23"/>
          <w:kern w:val="0"/>
          <w:sz w:val="24"/>
          <w:szCs w:val="24"/>
        </w:rPr>
        <w:t>担保权人请求优先受偿的，由管理人对该申请进行审查，申请符合本纪要第九条规定条件的，管理人提出优先受偿方案，经报告债权人委员会或人民法院后实施。如申请不符合规定条件，由管理人退回申请并说明理由。</w:t>
      </w:r>
    </w:p>
    <w:p w14:paraId="22AB7EF8"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第九条</w:t>
      </w:r>
      <w:r w:rsidRPr="001C3FD0">
        <w:rPr>
          <w:rFonts w:ascii="宋体" w:eastAsia="宋体" w:hAnsi="宋体" w:cs="宋体" w:hint="eastAsia"/>
          <w:color w:val="595959"/>
          <w:spacing w:val="23"/>
          <w:kern w:val="0"/>
          <w:sz w:val="24"/>
          <w:szCs w:val="24"/>
        </w:rPr>
        <w:t>  担保权人申请优先受偿的，应符合以下条件：（一）申请人系对破产债务人的特定财产享有担保权的权利人；（二）担保财产上不存在如建设工程价款优先受偿权等其他优先于申请人担保权的债权；（三）管理人已经收取变价款，且变价财产已经交付或者其所有权已经过户给买受人，或者虽然变价财产尚未交付、所有权尚未过户但与买受人无潜在纠纷；（四）在破产清算和破产和解程序中，不存在因单独处置担保财产会降低其他破产财产的价值而应整体处置的情形；在破产重整程序中，担保财产非重整所必需；（五）申请人出具了书面承诺。该书面承诺应当包含但不限于以下内容：在债权人会议通过分配方案并经人民法院裁定认可后，同意对其破产财产分配款进行结算，扣除已领取的分配款后多退少补；如发生担保权被依法撤销等情形，将无条件退回已领取的分配款，或者根据分配方案据实结算。</w:t>
      </w:r>
    </w:p>
    <w:p w14:paraId="2832B4F4"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lastRenderedPageBreak/>
        <w:t>第十条</w:t>
      </w:r>
      <w:r w:rsidRPr="001C3FD0">
        <w:rPr>
          <w:rFonts w:ascii="宋体" w:eastAsia="宋体" w:hAnsi="宋体" w:cs="宋体" w:hint="eastAsia"/>
          <w:color w:val="595959"/>
          <w:spacing w:val="23"/>
          <w:kern w:val="0"/>
          <w:sz w:val="24"/>
          <w:szCs w:val="24"/>
        </w:rPr>
        <w:t>  对担保财产变价款进行优先偿付前，管理人可以扣留担保财产保管、维护、评估、变价、交付、过户等所需的费用、税款等。</w:t>
      </w:r>
    </w:p>
    <w:p w14:paraId="3C54CBB5"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color w:val="595959"/>
          <w:spacing w:val="23"/>
          <w:kern w:val="0"/>
          <w:sz w:val="24"/>
          <w:szCs w:val="24"/>
        </w:rPr>
        <w:t>管理人实施优先偿付时，可以要求申请人交出担保权利凭证，配合注销担保登记，协助买受人办理担保财产的过户登记等手续，或请求人民法院出具协助文书办理相关产权的过户登记等手续。</w:t>
      </w:r>
    </w:p>
    <w:p w14:paraId="1C17BB25"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第十一条</w:t>
      </w:r>
      <w:r w:rsidRPr="001C3FD0">
        <w:rPr>
          <w:rFonts w:ascii="宋体" w:eastAsia="宋体" w:hAnsi="宋体" w:cs="宋体" w:hint="eastAsia"/>
          <w:color w:val="595959"/>
          <w:spacing w:val="23"/>
          <w:kern w:val="0"/>
          <w:sz w:val="24"/>
          <w:szCs w:val="24"/>
        </w:rPr>
        <w:t>  人民银行、银保监局督促指导金融机构债权人与管理人协商确定有财产担保部分对应的管理人报酬。报酬计取比例以最高人民法院确定的管理人管理担保物的报酬标准为基准，由双方协商确定。协商时可以考虑担保财产管理的难易程度、管理人管理担保财产的勤勉程度及所承担的风险和责任、管理人开展管理工作的综合成本等因素。</w:t>
      </w:r>
    </w:p>
    <w:p w14:paraId="55732C7E"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color w:val="595959"/>
          <w:spacing w:val="23"/>
          <w:kern w:val="0"/>
          <w:sz w:val="24"/>
          <w:szCs w:val="24"/>
        </w:rPr>
        <w:br/>
      </w:r>
    </w:p>
    <w:p w14:paraId="3E7EC480" w14:textId="77777777" w:rsidR="001C3FD0" w:rsidRPr="001C3FD0" w:rsidRDefault="001C3FD0" w:rsidP="001C3FD0">
      <w:pPr>
        <w:widowControl/>
        <w:adjustRightInd w:val="0"/>
        <w:snapToGrid w:val="0"/>
        <w:spacing w:line="360" w:lineRule="auto"/>
        <w:ind w:firstLine="480"/>
        <w:jc w:val="left"/>
        <w:rPr>
          <w:rFonts w:ascii="宋体" w:eastAsia="宋体" w:hAnsi="宋体" w:cs="宋体"/>
          <w:kern w:val="0"/>
          <w:sz w:val="24"/>
          <w:szCs w:val="24"/>
        </w:rPr>
      </w:pPr>
      <w:r w:rsidRPr="001C3FD0">
        <w:rPr>
          <w:rFonts w:ascii="宋体" w:eastAsia="宋体" w:hAnsi="宋体" w:cs="宋体" w:hint="eastAsia"/>
          <w:b/>
          <w:bCs/>
          <w:kern w:val="0"/>
          <w:sz w:val="27"/>
          <w:szCs w:val="27"/>
        </w:rPr>
        <w:t>三、信用修复</w:t>
      </w:r>
    </w:p>
    <w:p w14:paraId="20453D77" w14:textId="77777777" w:rsidR="001C3FD0" w:rsidRPr="001C3FD0" w:rsidRDefault="001C3FD0" w:rsidP="001C3FD0">
      <w:pPr>
        <w:widowControl/>
        <w:adjustRightInd w:val="0"/>
        <w:snapToGrid w:val="0"/>
        <w:spacing w:line="360" w:lineRule="auto"/>
        <w:ind w:firstLine="480"/>
        <w:jc w:val="left"/>
        <w:rPr>
          <w:rFonts w:ascii="宋体" w:eastAsia="宋体" w:hAnsi="宋体" w:cs="宋体"/>
          <w:kern w:val="0"/>
          <w:sz w:val="24"/>
          <w:szCs w:val="24"/>
        </w:rPr>
      </w:pPr>
      <w:r w:rsidRPr="001C3FD0">
        <w:rPr>
          <w:rFonts w:ascii="宋体" w:eastAsia="宋体" w:hAnsi="宋体" w:cs="宋体" w:hint="eastAsia"/>
          <w:b/>
          <w:bCs/>
          <w:color w:val="595959"/>
          <w:kern w:val="0"/>
          <w:sz w:val="24"/>
          <w:szCs w:val="24"/>
        </w:rPr>
        <w:t>第十二条</w:t>
      </w:r>
      <w:r w:rsidRPr="001C3FD0">
        <w:rPr>
          <w:rFonts w:ascii="宋体" w:eastAsia="宋体" w:hAnsi="宋体" w:cs="宋体" w:hint="eastAsia"/>
          <w:color w:val="595959"/>
          <w:kern w:val="0"/>
          <w:sz w:val="24"/>
          <w:szCs w:val="24"/>
        </w:rPr>
        <w:t>  破产企业重整计划被人民法院裁定批准后需要对其信用记录进行修复的，管理人可凭人民法院</w:t>
      </w:r>
      <w:proofErr w:type="gramStart"/>
      <w:r w:rsidRPr="001C3FD0">
        <w:rPr>
          <w:rFonts w:ascii="宋体" w:eastAsia="宋体" w:hAnsi="宋体" w:cs="宋体" w:hint="eastAsia"/>
          <w:color w:val="595959"/>
          <w:kern w:val="0"/>
          <w:sz w:val="24"/>
          <w:szCs w:val="24"/>
        </w:rPr>
        <w:t>作出</w:t>
      </w:r>
      <w:proofErr w:type="gramEnd"/>
      <w:r w:rsidRPr="001C3FD0">
        <w:rPr>
          <w:rFonts w:ascii="宋体" w:eastAsia="宋体" w:hAnsi="宋体" w:cs="宋体" w:hint="eastAsia"/>
          <w:color w:val="595959"/>
          <w:kern w:val="0"/>
          <w:sz w:val="24"/>
          <w:szCs w:val="24"/>
        </w:rPr>
        <w:t>的批准重整计划裁定书向人民银行申请重整企业信用修复。</w:t>
      </w:r>
    </w:p>
    <w:p w14:paraId="1B53C557"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第十三条</w:t>
      </w:r>
      <w:r w:rsidRPr="001C3FD0">
        <w:rPr>
          <w:rFonts w:ascii="宋体" w:eastAsia="宋体" w:hAnsi="宋体" w:cs="宋体" w:hint="eastAsia"/>
          <w:color w:val="595959"/>
          <w:spacing w:val="23"/>
          <w:kern w:val="0"/>
          <w:sz w:val="24"/>
          <w:szCs w:val="24"/>
        </w:rPr>
        <w:t>  人民银行经审查后将重整情况在征信系统“征信中心说明”中进行添加，并向信息使用者进行展示。人民银行应督促金融机构积极认可破产重整企业“征信中心说明”的内容，对于重整成功后企业的正常融资需求应予以支持，不得以征信系统内原不良信用记录而一票否决。</w:t>
      </w:r>
    </w:p>
    <w:p w14:paraId="77C65C8A"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第十四条</w:t>
      </w:r>
      <w:r w:rsidRPr="001C3FD0">
        <w:rPr>
          <w:rFonts w:ascii="宋体" w:eastAsia="宋体" w:hAnsi="宋体" w:cs="宋体" w:hint="eastAsia"/>
          <w:color w:val="595959"/>
          <w:spacing w:val="23"/>
          <w:kern w:val="0"/>
          <w:sz w:val="24"/>
          <w:szCs w:val="24"/>
        </w:rPr>
        <w:t>  人民银行应督促金融机构加强与上级机构的沟通汇报，在破产程序中受偿后10日内重新上报信贷记录，在企业征信系统展示金融机构与破产重整后企业的债权债务关系，金融机构应将原企业信贷记录展示为结清状态。</w:t>
      </w:r>
    </w:p>
    <w:p w14:paraId="0FD91458" w14:textId="77777777" w:rsidR="001C3FD0" w:rsidRPr="001C3FD0" w:rsidRDefault="001C3FD0" w:rsidP="001C3FD0">
      <w:pPr>
        <w:widowControl/>
        <w:adjustRightInd w:val="0"/>
        <w:snapToGrid w:val="0"/>
        <w:spacing w:line="360" w:lineRule="auto"/>
        <w:ind w:firstLine="480"/>
        <w:jc w:val="left"/>
        <w:rPr>
          <w:rFonts w:ascii="宋体" w:eastAsia="宋体" w:hAnsi="宋体" w:cs="宋体"/>
          <w:kern w:val="0"/>
          <w:sz w:val="24"/>
          <w:szCs w:val="24"/>
        </w:rPr>
      </w:pPr>
      <w:r w:rsidRPr="001C3FD0">
        <w:rPr>
          <w:rFonts w:ascii="宋体" w:eastAsia="宋体" w:hAnsi="宋体" w:cs="宋体" w:hint="eastAsia"/>
          <w:color w:val="595959"/>
          <w:kern w:val="0"/>
          <w:sz w:val="24"/>
          <w:szCs w:val="24"/>
        </w:rPr>
        <w:br/>
      </w:r>
    </w:p>
    <w:p w14:paraId="15EE3157" w14:textId="77777777" w:rsidR="001C3FD0" w:rsidRPr="001C3FD0" w:rsidRDefault="001C3FD0" w:rsidP="001C3FD0">
      <w:pPr>
        <w:widowControl/>
        <w:adjustRightInd w:val="0"/>
        <w:snapToGrid w:val="0"/>
        <w:spacing w:line="360" w:lineRule="auto"/>
        <w:ind w:firstLine="480"/>
        <w:jc w:val="left"/>
        <w:rPr>
          <w:rFonts w:ascii="宋体" w:eastAsia="宋体" w:hAnsi="宋体" w:cs="宋体"/>
          <w:kern w:val="0"/>
          <w:sz w:val="24"/>
          <w:szCs w:val="24"/>
        </w:rPr>
      </w:pPr>
      <w:r w:rsidRPr="001C3FD0">
        <w:rPr>
          <w:rFonts w:ascii="宋体" w:eastAsia="宋体" w:hAnsi="宋体" w:cs="宋体" w:hint="eastAsia"/>
          <w:b/>
          <w:bCs/>
          <w:kern w:val="0"/>
          <w:sz w:val="27"/>
          <w:szCs w:val="27"/>
        </w:rPr>
        <w:lastRenderedPageBreak/>
        <w:t>四、融资服务</w:t>
      </w:r>
    </w:p>
    <w:p w14:paraId="6DE78103"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第十五条</w:t>
      </w:r>
      <w:r w:rsidRPr="001C3FD0">
        <w:rPr>
          <w:rFonts w:ascii="宋体" w:eastAsia="宋体" w:hAnsi="宋体" w:cs="宋体" w:hint="eastAsia"/>
          <w:color w:val="595959"/>
          <w:spacing w:val="23"/>
          <w:kern w:val="0"/>
          <w:sz w:val="24"/>
          <w:szCs w:val="24"/>
        </w:rPr>
        <w:t>  人民银行和银保监局应鼓励金融机构加强产品创新，在处置附有担保物权的破产财产过程中，向买受人提供合法合</w:t>
      </w:r>
      <w:proofErr w:type="gramStart"/>
      <w:r w:rsidRPr="001C3FD0">
        <w:rPr>
          <w:rFonts w:ascii="宋体" w:eastAsia="宋体" w:hAnsi="宋体" w:cs="宋体" w:hint="eastAsia"/>
          <w:color w:val="595959"/>
          <w:spacing w:val="23"/>
          <w:kern w:val="0"/>
          <w:sz w:val="24"/>
          <w:szCs w:val="24"/>
        </w:rPr>
        <w:t>规</w:t>
      </w:r>
      <w:proofErr w:type="gramEnd"/>
      <w:r w:rsidRPr="001C3FD0">
        <w:rPr>
          <w:rFonts w:ascii="宋体" w:eastAsia="宋体" w:hAnsi="宋体" w:cs="宋体" w:hint="eastAsia"/>
          <w:color w:val="595959"/>
          <w:spacing w:val="23"/>
          <w:kern w:val="0"/>
          <w:sz w:val="24"/>
          <w:szCs w:val="24"/>
        </w:rPr>
        <w:t>的金融服务，用于支付部分价款，提高财产处置效率。</w:t>
      </w:r>
    </w:p>
    <w:p w14:paraId="654D48F2"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第十六条</w:t>
      </w:r>
      <w:r w:rsidRPr="001C3FD0">
        <w:rPr>
          <w:rFonts w:ascii="宋体" w:eastAsia="宋体" w:hAnsi="宋体" w:cs="宋体" w:hint="eastAsia"/>
          <w:color w:val="595959"/>
          <w:spacing w:val="23"/>
          <w:kern w:val="0"/>
          <w:sz w:val="24"/>
          <w:szCs w:val="24"/>
        </w:rPr>
        <w:t>  重整计划执行期间重整企业有融资需求的，人民银行和银保监局应指导金融机构按照审慎原则开展贷前调查，探索适合重整企业的贷款模式，合理确定融资成本，支持重整企业回归正常经营。人民法院应督促和指导管理人协助配合金融机构的贷前尽职调查，并如实提供金融机构所需的资料和相关信息。</w:t>
      </w:r>
    </w:p>
    <w:p w14:paraId="60F46BAA" w14:textId="77777777" w:rsidR="001C3FD0" w:rsidRPr="001C3FD0" w:rsidRDefault="001C3FD0" w:rsidP="001C3FD0">
      <w:pPr>
        <w:widowControl/>
        <w:adjustRightInd w:val="0"/>
        <w:snapToGrid w:val="0"/>
        <w:spacing w:line="360" w:lineRule="auto"/>
        <w:ind w:firstLine="480"/>
        <w:jc w:val="left"/>
        <w:rPr>
          <w:rFonts w:ascii="宋体" w:eastAsia="宋体" w:hAnsi="宋体" w:cs="宋体"/>
          <w:kern w:val="0"/>
          <w:sz w:val="24"/>
          <w:szCs w:val="24"/>
        </w:rPr>
      </w:pPr>
      <w:r w:rsidRPr="001C3FD0">
        <w:rPr>
          <w:rFonts w:ascii="宋体" w:eastAsia="宋体" w:hAnsi="宋体" w:cs="宋体" w:hint="eastAsia"/>
          <w:color w:val="595959"/>
          <w:kern w:val="0"/>
          <w:sz w:val="24"/>
          <w:szCs w:val="24"/>
        </w:rPr>
        <w:br/>
      </w:r>
    </w:p>
    <w:p w14:paraId="1BD34D59" w14:textId="77777777" w:rsidR="001C3FD0" w:rsidRPr="001C3FD0" w:rsidRDefault="001C3FD0" w:rsidP="001C3FD0">
      <w:pPr>
        <w:widowControl/>
        <w:adjustRightInd w:val="0"/>
        <w:snapToGrid w:val="0"/>
        <w:spacing w:line="360" w:lineRule="auto"/>
        <w:ind w:firstLine="480"/>
        <w:jc w:val="left"/>
        <w:rPr>
          <w:rFonts w:ascii="宋体" w:eastAsia="宋体" w:hAnsi="宋体" w:cs="宋体"/>
          <w:kern w:val="0"/>
          <w:sz w:val="24"/>
          <w:szCs w:val="24"/>
        </w:rPr>
      </w:pPr>
      <w:r w:rsidRPr="001C3FD0">
        <w:rPr>
          <w:rFonts w:ascii="宋体" w:eastAsia="宋体" w:hAnsi="宋体" w:cs="宋体" w:hint="eastAsia"/>
          <w:b/>
          <w:bCs/>
          <w:kern w:val="0"/>
          <w:sz w:val="27"/>
          <w:szCs w:val="27"/>
        </w:rPr>
        <w:t>五、打击逃废债行为</w:t>
      </w:r>
    </w:p>
    <w:p w14:paraId="144B1B16"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第十七条</w:t>
      </w:r>
      <w:r w:rsidRPr="001C3FD0">
        <w:rPr>
          <w:rFonts w:ascii="宋体" w:eastAsia="宋体" w:hAnsi="宋体" w:cs="宋体" w:hint="eastAsia"/>
          <w:color w:val="595959"/>
          <w:spacing w:val="23"/>
          <w:kern w:val="0"/>
          <w:sz w:val="24"/>
          <w:szCs w:val="24"/>
        </w:rPr>
        <w:t>  人民法院、人民银行和银保监局应强化对破产企业逃废债的打击力度。对破产企业出现以隐匿、转移财产方式规避执行，或法定代表人、实际控制人逃匿等恶意逃废债情形的，人民法院可依管理人或金融机构债权人申请，或依职权决定将被执行人纳入失信被执行人名单，并对破产企业及其法定代表人、实际控制人采取限制消费措施。人民银行、银保监局应督促金融机构为人民法院和管理人提供账户资金查询服务，协助做好资金往来等信息查询工作。通过人民法院失信被执行人名单和金融机构逃废债黑名单联动制裁机制，有效遏制逃废债行为。</w:t>
      </w:r>
    </w:p>
    <w:p w14:paraId="205AE6F9"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PingFangSC-Light" w:eastAsia="宋体" w:hAnsi="PingFangSC-Light" w:cs="宋体"/>
          <w:b/>
          <w:bCs/>
          <w:color w:val="595959"/>
          <w:spacing w:val="23"/>
          <w:kern w:val="0"/>
          <w:sz w:val="24"/>
          <w:szCs w:val="24"/>
        </w:rPr>
        <w:t>第十八条</w:t>
      </w:r>
      <w:r w:rsidRPr="001C3FD0">
        <w:rPr>
          <w:rFonts w:ascii="PingFangSC-Light" w:eastAsia="宋体" w:hAnsi="PingFangSC-Light" w:cs="宋体"/>
          <w:color w:val="595959"/>
          <w:spacing w:val="23"/>
          <w:kern w:val="0"/>
          <w:sz w:val="24"/>
          <w:szCs w:val="24"/>
        </w:rPr>
        <w:t>  </w:t>
      </w:r>
      <w:r w:rsidRPr="001C3FD0">
        <w:rPr>
          <w:rFonts w:ascii="PingFangSC-Light" w:eastAsia="宋体" w:hAnsi="PingFangSC-Light" w:cs="宋体"/>
          <w:color w:val="595959"/>
          <w:spacing w:val="23"/>
          <w:kern w:val="0"/>
          <w:sz w:val="24"/>
          <w:szCs w:val="24"/>
        </w:rPr>
        <w:t>金融机构发现破产企业及其董事、监事、高级管理人员、股东和实际控制人有逃废债行为的，应及时将相关线索提供给管理人。人民法院应督促管理人对相关线索进行调查。</w:t>
      </w:r>
    </w:p>
    <w:p w14:paraId="5A5B98FA"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color w:val="595959"/>
          <w:spacing w:val="23"/>
          <w:kern w:val="0"/>
          <w:sz w:val="24"/>
          <w:szCs w:val="24"/>
        </w:rPr>
        <w:lastRenderedPageBreak/>
        <w:t>管理人发现前述行为的，应当及时向债权人委员会、债权人会议通报情况，相关人员可能涉嫌犯罪的，还应及时报告人民法院、公安机关或监察机关。</w:t>
      </w:r>
    </w:p>
    <w:p w14:paraId="07088358" w14:textId="77777777" w:rsidR="001C3FD0" w:rsidRPr="001C3FD0" w:rsidRDefault="001C3FD0" w:rsidP="001C3FD0">
      <w:pPr>
        <w:widowControl/>
        <w:adjustRightInd w:val="0"/>
        <w:snapToGrid w:val="0"/>
        <w:spacing w:line="360" w:lineRule="auto"/>
        <w:ind w:left="150" w:right="150"/>
        <w:jc w:val="left"/>
        <w:rPr>
          <w:rFonts w:ascii="宋体" w:eastAsia="宋体" w:hAnsi="宋体" w:cs="宋体"/>
          <w:spacing w:val="23"/>
          <w:kern w:val="0"/>
          <w:sz w:val="24"/>
          <w:szCs w:val="24"/>
        </w:rPr>
      </w:pPr>
    </w:p>
    <w:p w14:paraId="6CA3763F" w14:textId="77777777" w:rsidR="001C3FD0" w:rsidRPr="001C3FD0" w:rsidRDefault="001C3FD0" w:rsidP="001C3FD0">
      <w:pPr>
        <w:widowControl/>
        <w:adjustRightInd w:val="0"/>
        <w:snapToGrid w:val="0"/>
        <w:spacing w:line="360" w:lineRule="auto"/>
        <w:ind w:firstLine="480"/>
        <w:rPr>
          <w:rFonts w:ascii="宋体" w:eastAsia="宋体" w:hAnsi="宋体" w:cs="宋体"/>
          <w:kern w:val="0"/>
          <w:sz w:val="24"/>
          <w:szCs w:val="24"/>
        </w:rPr>
      </w:pPr>
      <w:r w:rsidRPr="001C3FD0">
        <w:rPr>
          <w:rFonts w:ascii="宋体" w:eastAsia="宋体" w:hAnsi="宋体" w:cs="宋体" w:hint="eastAsia"/>
          <w:b/>
          <w:bCs/>
          <w:kern w:val="0"/>
          <w:sz w:val="27"/>
          <w:szCs w:val="27"/>
        </w:rPr>
        <w:t>六、共同推进个人债务集中清理工作</w:t>
      </w:r>
    </w:p>
    <w:p w14:paraId="55FC4054" w14:textId="77777777" w:rsidR="001C3FD0" w:rsidRPr="001C3FD0" w:rsidRDefault="001C3FD0" w:rsidP="001C3FD0">
      <w:pPr>
        <w:widowControl/>
        <w:adjustRightInd w:val="0"/>
        <w:snapToGrid w:val="0"/>
        <w:spacing w:line="360" w:lineRule="auto"/>
        <w:ind w:left="150" w:right="150"/>
        <w:jc w:val="left"/>
        <w:rPr>
          <w:rFonts w:ascii="宋体" w:eastAsia="宋体" w:hAnsi="宋体" w:cs="宋体"/>
          <w:spacing w:val="23"/>
          <w:kern w:val="0"/>
          <w:sz w:val="24"/>
          <w:szCs w:val="24"/>
        </w:rPr>
      </w:pPr>
    </w:p>
    <w:p w14:paraId="493CB0A7"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第十九条</w:t>
      </w:r>
      <w:r w:rsidRPr="001C3FD0">
        <w:rPr>
          <w:rFonts w:ascii="宋体" w:eastAsia="宋体" w:hAnsi="宋体" w:cs="宋体" w:hint="eastAsia"/>
          <w:color w:val="595959"/>
          <w:spacing w:val="23"/>
          <w:kern w:val="0"/>
          <w:sz w:val="24"/>
          <w:szCs w:val="24"/>
        </w:rPr>
        <w:t>  浙江省高级人民法院与中国人民银行杭州中心支行、浙江银保监局共同推动具备个人破产实质功能的个人债务集中清理工作，中国人民银行杭州中心支行、浙江银保监局支持、指导辖内金融机构按照《浙江法院个人债务集中清理（类个人破产）工作指引（试行）》的要求，积极配合人民法院开展个人债务集中清理工作，推动银行不良资产核销工作与个人债务集中清理工作的对接。</w:t>
      </w:r>
    </w:p>
    <w:p w14:paraId="3851E437" w14:textId="77777777" w:rsidR="001C3FD0" w:rsidRPr="001C3FD0" w:rsidRDefault="001C3FD0" w:rsidP="001C3FD0">
      <w:pPr>
        <w:widowControl/>
        <w:adjustRightInd w:val="0"/>
        <w:snapToGrid w:val="0"/>
        <w:spacing w:after="75" w:line="360" w:lineRule="auto"/>
        <w:ind w:left="150" w:right="150"/>
        <w:jc w:val="left"/>
        <w:rPr>
          <w:rFonts w:ascii="宋体" w:eastAsia="宋体" w:hAnsi="宋体" w:cs="宋体"/>
          <w:spacing w:val="23"/>
          <w:kern w:val="0"/>
          <w:sz w:val="24"/>
          <w:szCs w:val="24"/>
        </w:rPr>
      </w:pPr>
    </w:p>
    <w:p w14:paraId="38ACDAE3" w14:textId="77777777" w:rsidR="001C3FD0" w:rsidRPr="001C3FD0" w:rsidRDefault="001C3FD0" w:rsidP="001C3FD0">
      <w:pPr>
        <w:widowControl/>
        <w:adjustRightInd w:val="0"/>
        <w:snapToGrid w:val="0"/>
        <w:spacing w:line="360" w:lineRule="auto"/>
        <w:ind w:firstLine="480"/>
        <w:rPr>
          <w:rFonts w:ascii="宋体" w:eastAsia="宋体" w:hAnsi="宋体" w:cs="宋体"/>
          <w:kern w:val="0"/>
          <w:sz w:val="24"/>
          <w:szCs w:val="24"/>
        </w:rPr>
      </w:pPr>
      <w:r w:rsidRPr="001C3FD0">
        <w:rPr>
          <w:rFonts w:ascii="宋体" w:eastAsia="宋体" w:hAnsi="宋体" w:cs="宋体" w:hint="eastAsia"/>
          <w:b/>
          <w:bCs/>
          <w:kern w:val="0"/>
          <w:sz w:val="27"/>
          <w:szCs w:val="27"/>
        </w:rPr>
        <w:t>七、完善合作机制</w:t>
      </w:r>
    </w:p>
    <w:p w14:paraId="5A560630"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第二十条</w:t>
      </w:r>
      <w:r w:rsidRPr="001C3FD0">
        <w:rPr>
          <w:rFonts w:ascii="宋体" w:eastAsia="宋体" w:hAnsi="宋体" w:cs="宋体" w:hint="eastAsia"/>
          <w:color w:val="595959"/>
          <w:spacing w:val="23"/>
          <w:kern w:val="0"/>
          <w:sz w:val="24"/>
          <w:szCs w:val="24"/>
        </w:rPr>
        <w:t>  浙江省高级人民法院民事审判第五庭、中国人民银行杭州中心支行金融稳定处和浙江银保监局政策法规处为业务合作的牵头部门，建立定期联络制度，并确定联络员具体负责联系、协调和落实</w:t>
      </w:r>
      <w:proofErr w:type="gramStart"/>
      <w:r w:rsidRPr="001C3FD0">
        <w:rPr>
          <w:rFonts w:ascii="宋体" w:eastAsia="宋体" w:hAnsi="宋体" w:cs="宋体" w:hint="eastAsia"/>
          <w:color w:val="595959"/>
          <w:spacing w:val="23"/>
          <w:kern w:val="0"/>
          <w:sz w:val="24"/>
          <w:szCs w:val="24"/>
        </w:rPr>
        <w:t>日常合作</w:t>
      </w:r>
      <w:proofErr w:type="gramEnd"/>
      <w:r w:rsidRPr="001C3FD0">
        <w:rPr>
          <w:rFonts w:ascii="宋体" w:eastAsia="宋体" w:hAnsi="宋体" w:cs="宋体" w:hint="eastAsia"/>
          <w:color w:val="595959"/>
          <w:spacing w:val="23"/>
          <w:kern w:val="0"/>
          <w:sz w:val="24"/>
          <w:szCs w:val="24"/>
        </w:rPr>
        <w:t>事项，组织开展相关交流活动。</w:t>
      </w:r>
    </w:p>
    <w:p w14:paraId="31384378"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第二十一条</w:t>
      </w:r>
      <w:r w:rsidRPr="001C3FD0">
        <w:rPr>
          <w:rFonts w:ascii="宋体" w:eastAsia="宋体" w:hAnsi="宋体" w:cs="宋体" w:hint="eastAsia"/>
          <w:color w:val="595959"/>
          <w:spacing w:val="23"/>
          <w:kern w:val="0"/>
          <w:sz w:val="24"/>
          <w:szCs w:val="24"/>
        </w:rPr>
        <w:t>  金融机构债权人认为其知情权、优先受偿权等合法权益在破产程序中受到损害的，可以通过中国人民银行杭州中心支行金融稳定处或浙江银保监局政策法规处向浙江省高级人民法院民五庭递交《问题联系单》或者直接递交；管理人履职过程中金融机构未依照相关规定予以配合的，可以通过浙江省高级人民法院民五庭向中国人民银行杭州中心支行金融稳定处或浙江银保监局政策法规处递交《问题联系单》或者直接递交，双方均应当在收到《问题联系单》五个工作日内将处理结果予以书面回复。</w:t>
      </w:r>
    </w:p>
    <w:p w14:paraId="568118E0"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lastRenderedPageBreak/>
        <w:t>第二十二条</w:t>
      </w:r>
      <w:r w:rsidRPr="001C3FD0">
        <w:rPr>
          <w:rFonts w:ascii="宋体" w:eastAsia="宋体" w:hAnsi="宋体" w:cs="宋体" w:hint="eastAsia"/>
          <w:color w:val="595959"/>
          <w:spacing w:val="23"/>
          <w:kern w:val="0"/>
          <w:sz w:val="24"/>
          <w:szCs w:val="24"/>
        </w:rPr>
        <w:t>  浙江省高级人民法院、中国人民银行杭州中心支行、浙江银保监局将核实的问题及解决的相关情况纳入对于金融机构、管理人的业绩考核。</w:t>
      </w:r>
    </w:p>
    <w:p w14:paraId="31A431C0"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color w:val="595959"/>
          <w:spacing w:val="23"/>
          <w:kern w:val="0"/>
          <w:sz w:val="24"/>
          <w:szCs w:val="24"/>
        </w:rPr>
        <w:t>对于前述问题经核实属实的，人民法院依照《浙江省破产管理人动态管理办法（试行）》对管理人的个案履职进行考核；人民银行、银保监局依照相关监管规定对金融机构进行考核。</w:t>
      </w:r>
    </w:p>
    <w:p w14:paraId="03156D91" w14:textId="77777777" w:rsidR="001C3FD0" w:rsidRPr="001C3FD0" w:rsidRDefault="001C3FD0" w:rsidP="001C3FD0">
      <w:pPr>
        <w:widowControl/>
        <w:adjustRightInd w:val="0"/>
        <w:snapToGrid w:val="0"/>
        <w:spacing w:line="360" w:lineRule="auto"/>
        <w:ind w:left="150" w:right="150" w:firstLine="480"/>
        <w:jc w:val="left"/>
        <w:rPr>
          <w:rFonts w:ascii="宋体" w:eastAsia="宋体" w:hAnsi="宋体" w:cs="宋体"/>
          <w:spacing w:val="23"/>
          <w:kern w:val="0"/>
          <w:sz w:val="24"/>
          <w:szCs w:val="24"/>
        </w:rPr>
      </w:pPr>
      <w:r w:rsidRPr="001C3FD0">
        <w:rPr>
          <w:rFonts w:ascii="宋体" w:eastAsia="宋体" w:hAnsi="宋体" w:cs="宋体" w:hint="eastAsia"/>
          <w:b/>
          <w:bCs/>
          <w:color w:val="595959"/>
          <w:spacing w:val="23"/>
          <w:kern w:val="0"/>
          <w:sz w:val="24"/>
          <w:szCs w:val="24"/>
        </w:rPr>
        <w:t>第二十三条</w:t>
      </w:r>
      <w:r w:rsidRPr="001C3FD0">
        <w:rPr>
          <w:rFonts w:ascii="宋体" w:eastAsia="宋体" w:hAnsi="宋体" w:cs="宋体" w:hint="eastAsia"/>
          <w:color w:val="595959"/>
          <w:spacing w:val="23"/>
          <w:kern w:val="0"/>
          <w:sz w:val="24"/>
          <w:szCs w:val="24"/>
        </w:rPr>
        <w:t>  全省各中级人民法院、人民银行各市中心支行、杭州市辖各支行、</w:t>
      </w:r>
      <w:proofErr w:type="gramStart"/>
      <w:r w:rsidRPr="001C3FD0">
        <w:rPr>
          <w:rFonts w:ascii="宋体" w:eastAsia="宋体" w:hAnsi="宋体" w:cs="宋体" w:hint="eastAsia"/>
          <w:color w:val="595959"/>
          <w:spacing w:val="23"/>
          <w:kern w:val="0"/>
          <w:sz w:val="24"/>
          <w:szCs w:val="24"/>
        </w:rPr>
        <w:t>各银保监分局</w:t>
      </w:r>
      <w:proofErr w:type="gramEnd"/>
      <w:r w:rsidRPr="001C3FD0">
        <w:rPr>
          <w:rFonts w:ascii="宋体" w:eastAsia="宋体" w:hAnsi="宋体" w:cs="宋体" w:hint="eastAsia"/>
          <w:color w:val="595959"/>
          <w:spacing w:val="23"/>
          <w:kern w:val="0"/>
          <w:sz w:val="24"/>
          <w:szCs w:val="24"/>
        </w:rPr>
        <w:t>应当参照本合作纪要落实各项合作制度，建立相应的沟通协作机制。</w:t>
      </w:r>
    </w:p>
    <w:p w14:paraId="68190CD8" w14:textId="77777777" w:rsidR="001C3FD0" w:rsidRPr="001C3FD0" w:rsidRDefault="001C3FD0" w:rsidP="001C3FD0">
      <w:pPr>
        <w:widowControl/>
        <w:adjustRightInd w:val="0"/>
        <w:snapToGrid w:val="0"/>
        <w:spacing w:line="360" w:lineRule="auto"/>
        <w:ind w:firstLine="480"/>
        <w:jc w:val="left"/>
        <w:rPr>
          <w:rFonts w:ascii="宋体" w:eastAsia="宋体" w:hAnsi="宋体" w:cs="宋体"/>
          <w:kern w:val="0"/>
          <w:sz w:val="24"/>
          <w:szCs w:val="24"/>
        </w:rPr>
      </w:pPr>
      <w:r w:rsidRPr="001C3FD0">
        <w:rPr>
          <w:rFonts w:ascii="宋体" w:eastAsia="宋体" w:hAnsi="宋体" w:cs="宋体" w:hint="eastAsia"/>
          <w:color w:val="595959"/>
          <w:kern w:val="0"/>
          <w:sz w:val="24"/>
          <w:szCs w:val="24"/>
        </w:rPr>
        <w:br/>
      </w:r>
    </w:p>
    <w:p w14:paraId="240EAB04" w14:textId="77777777" w:rsidR="001C3FD0" w:rsidRPr="001C3FD0" w:rsidRDefault="001C3FD0" w:rsidP="001C3FD0">
      <w:pPr>
        <w:widowControl/>
        <w:adjustRightInd w:val="0"/>
        <w:snapToGrid w:val="0"/>
        <w:spacing w:line="360" w:lineRule="auto"/>
        <w:jc w:val="left"/>
        <w:rPr>
          <w:rFonts w:ascii="宋体" w:eastAsia="宋体" w:hAnsi="宋体" w:cs="宋体"/>
          <w:kern w:val="0"/>
          <w:sz w:val="24"/>
          <w:szCs w:val="24"/>
        </w:rPr>
      </w:pPr>
      <w:r w:rsidRPr="001C3FD0">
        <w:rPr>
          <w:rFonts w:ascii="宋体" w:eastAsia="宋体" w:hAnsi="宋体" w:cs="宋体"/>
          <w:kern w:val="0"/>
          <w:sz w:val="24"/>
          <w:szCs w:val="24"/>
        </w:rPr>
        <w:pict w14:anchorId="34886471">
          <v:rect id="_x0000_i1025" style="width:0;height:1.5pt" o:hralign="center" o:hrstd="t" o:hr="t" fillcolor="#a0a0a0" stroked="f"/>
        </w:pict>
      </w:r>
    </w:p>
    <w:p w14:paraId="61C37C30" w14:textId="77777777" w:rsidR="001C3FD0" w:rsidRPr="001C3FD0" w:rsidRDefault="001C3FD0" w:rsidP="001C3FD0">
      <w:pPr>
        <w:widowControl/>
        <w:adjustRightInd w:val="0"/>
        <w:snapToGrid w:val="0"/>
        <w:spacing w:line="360" w:lineRule="auto"/>
        <w:ind w:firstLine="480"/>
        <w:jc w:val="left"/>
        <w:rPr>
          <w:rFonts w:ascii="宋体" w:eastAsia="宋体" w:hAnsi="宋体" w:cs="宋体"/>
          <w:kern w:val="0"/>
          <w:sz w:val="24"/>
          <w:szCs w:val="24"/>
        </w:rPr>
      </w:pPr>
      <w:r w:rsidRPr="001C3FD0">
        <w:rPr>
          <w:rFonts w:ascii="宋体" w:eastAsia="宋体" w:hAnsi="宋体" w:cs="宋体" w:hint="eastAsia"/>
          <w:b/>
          <w:bCs/>
          <w:color w:val="1F497D"/>
          <w:kern w:val="0"/>
          <w:sz w:val="24"/>
          <w:szCs w:val="24"/>
        </w:rPr>
        <w:t>◎ 附件：</w:t>
      </w:r>
    </w:p>
    <w:p w14:paraId="14332502" w14:textId="39C5A920" w:rsidR="001C3FD0" w:rsidRPr="001C3FD0" w:rsidRDefault="001C3FD0" w:rsidP="001C3FD0">
      <w:pPr>
        <w:widowControl/>
        <w:adjustRightInd w:val="0"/>
        <w:snapToGrid w:val="0"/>
        <w:spacing w:line="360" w:lineRule="auto"/>
        <w:jc w:val="center"/>
        <w:rPr>
          <w:rFonts w:ascii="宋体" w:eastAsia="宋体" w:hAnsi="宋体" w:cs="宋体" w:hint="eastAsia"/>
          <w:kern w:val="0"/>
          <w:sz w:val="24"/>
          <w:szCs w:val="24"/>
        </w:rPr>
      </w:pPr>
      <w:r w:rsidRPr="001C3FD0">
        <w:rPr>
          <w:rFonts w:ascii="宋体" w:eastAsia="宋体" w:hAnsi="宋体" w:cs="宋体"/>
          <w:noProof/>
          <w:kern w:val="0"/>
          <w:sz w:val="24"/>
          <w:szCs w:val="24"/>
        </w:rPr>
        <w:drawing>
          <wp:inline distT="0" distB="0" distL="0" distR="0" wp14:anchorId="6F820FC6" wp14:editId="0ED6D415">
            <wp:extent cx="5274310" cy="450532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505325"/>
                    </a:xfrm>
                    <a:prstGeom prst="rect">
                      <a:avLst/>
                    </a:prstGeom>
                    <a:noFill/>
                    <a:ln>
                      <a:noFill/>
                    </a:ln>
                  </pic:spPr>
                </pic:pic>
              </a:graphicData>
            </a:graphic>
          </wp:inline>
        </w:drawing>
      </w:r>
    </w:p>
    <w:sectPr w:rsidR="001C3FD0" w:rsidRPr="001C3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ingFangSC-Ligh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23"/>
    <w:rsid w:val="001C3FD0"/>
    <w:rsid w:val="0073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26A9"/>
  <w15:chartTrackingRefBased/>
  <w15:docId w15:val="{2116BCD4-2673-4F64-9489-50EE2A16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3F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3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2021-09-10T01:19:00Z</dcterms:created>
  <dcterms:modified xsi:type="dcterms:W3CDTF">2021-09-10T01:20:00Z</dcterms:modified>
</cp:coreProperties>
</file>