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4F6AE2" w14:textId="69ADFDDF" w:rsidR="00C36BCA" w:rsidRPr="00812C61" w:rsidRDefault="00812C61" w:rsidP="00875F6D">
      <w:pPr>
        <w:adjustRightInd w:val="0"/>
        <w:snapToGrid w:val="0"/>
        <w:spacing w:line="360" w:lineRule="auto"/>
        <w:jc w:val="center"/>
        <w:rPr>
          <w:rFonts w:ascii="宋体" w:eastAsia="宋体" w:hAnsi="宋体"/>
          <w:sz w:val="28"/>
          <w:szCs w:val="28"/>
        </w:rPr>
      </w:pPr>
      <w:r w:rsidRPr="00812C61">
        <w:rPr>
          <w:rFonts w:ascii="宋体" w:eastAsia="宋体" w:hAnsi="宋体" w:hint="eastAsia"/>
          <w:sz w:val="28"/>
          <w:szCs w:val="28"/>
        </w:rPr>
        <w:t>浙</w:t>
      </w:r>
      <w:proofErr w:type="gramStart"/>
      <w:r w:rsidRPr="00812C61">
        <w:rPr>
          <w:rFonts w:ascii="宋体" w:eastAsia="宋体" w:hAnsi="宋体" w:hint="eastAsia"/>
          <w:sz w:val="28"/>
          <w:szCs w:val="28"/>
        </w:rPr>
        <w:t>并购办</w:t>
      </w:r>
      <w:proofErr w:type="gramEnd"/>
      <w:r w:rsidRPr="00812C61">
        <w:rPr>
          <w:rFonts w:ascii="宋体" w:eastAsia="宋体" w:hAnsi="宋体" w:hint="eastAsia"/>
          <w:sz w:val="28"/>
          <w:szCs w:val="28"/>
        </w:rPr>
        <w:t>〔</w:t>
      </w:r>
      <w:r w:rsidRPr="00812C61">
        <w:rPr>
          <w:rFonts w:ascii="宋体" w:eastAsia="宋体" w:hAnsi="宋体"/>
          <w:sz w:val="28"/>
          <w:szCs w:val="28"/>
        </w:rPr>
        <w:t>2016〕8 号</w:t>
      </w:r>
    </w:p>
    <w:p w14:paraId="52F148E6" w14:textId="77777777" w:rsidR="00812C61" w:rsidRPr="00812C61" w:rsidRDefault="00812C61" w:rsidP="00875F6D">
      <w:pPr>
        <w:adjustRightInd w:val="0"/>
        <w:snapToGrid w:val="0"/>
        <w:spacing w:line="360" w:lineRule="auto"/>
        <w:jc w:val="center"/>
        <w:rPr>
          <w:rFonts w:ascii="宋体" w:eastAsia="宋体" w:hAnsi="宋体" w:hint="eastAsia"/>
          <w:sz w:val="44"/>
          <w:szCs w:val="44"/>
        </w:rPr>
      </w:pPr>
    </w:p>
    <w:p w14:paraId="052DE621" w14:textId="77777777" w:rsidR="00812C61" w:rsidRDefault="00812C61" w:rsidP="00875F6D">
      <w:pPr>
        <w:adjustRightInd w:val="0"/>
        <w:snapToGrid w:val="0"/>
        <w:spacing w:line="360" w:lineRule="auto"/>
        <w:jc w:val="center"/>
        <w:rPr>
          <w:rFonts w:ascii="宋体" w:eastAsia="宋体" w:hAnsi="宋体"/>
          <w:sz w:val="48"/>
          <w:szCs w:val="48"/>
        </w:rPr>
      </w:pPr>
      <w:r w:rsidRPr="00812C61">
        <w:rPr>
          <w:rFonts w:ascii="宋体" w:eastAsia="宋体" w:hAnsi="宋体" w:hint="eastAsia"/>
          <w:sz w:val="48"/>
          <w:szCs w:val="48"/>
        </w:rPr>
        <w:t>关于成立省级“僵尸企业”处置</w:t>
      </w:r>
    </w:p>
    <w:p w14:paraId="58F92A00" w14:textId="117027F2" w:rsidR="00812C61" w:rsidRDefault="00812C61" w:rsidP="00875F6D">
      <w:pPr>
        <w:adjustRightInd w:val="0"/>
        <w:snapToGrid w:val="0"/>
        <w:spacing w:line="360" w:lineRule="auto"/>
        <w:jc w:val="center"/>
        <w:rPr>
          <w:rFonts w:ascii="宋体" w:eastAsia="宋体" w:hAnsi="宋体"/>
          <w:sz w:val="48"/>
          <w:szCs w:val="48"/>
        </w:rPr>
      </w:pPr>
      <w:r w:rsidRPr="00812C61">
        <w:rPr>
          <w:rFonts w:ascii="宋体" w:eastAsia="宋体" w:hAnsi="宋体" w:hint="eastAsia"/>
          <w:sz w:val="48"/>
          <w:szCs w:val="48"/>
        </w:rPr>
        <w:t>府院联动机制的通知</w:t>
      </w:r>
    </w:p>
    <w:p w14:paraId="16B93773" w14:textId="15F3340D" w:rsidR="00812C61" w:rsidRDefault="00812C61" w:rsidP="00875F6D">
      <w:pPr>
        <w:adjustRightInd w:val="0"/>
        <w:snapToGrid w:val="0"/>
        <w:spacing w:line="360" w:lineRule="auto"/>
        <w:ind w:firstLineChars="200" w:firstLine="880"/>
        <w:rPr>
          <w:rFonts w:ascii="宋体" w:eastAsia="宋体" w:hAnsi="宋体"/>
          <w:sz w:val="44"/>
          <w:szCs w:val="44"/>
        </w:rPr>
      </w:pPr>
    </w:p>
    <w:p w14:paraId="2E20A566" w14:textId="77777777" w:rsidR="00812C61" w:rsidRPr="00812C61" w:rsidRDefault="00812C61" w:rsidP="00875F6D">
      <w:pPr>
        <w:adjustRightInd w:val="0"/>
        <w:snapToGrid w:val="0"/>
        <w:spacing w:line="360" w:lineRule="auto"/>
        <w:ind w:firstLineChars="200" w:firstLine="880"/>
        <w:rPr>
          <w:rFonts w:ascii="宋体" w:eastAsia="宋体" w:hAnsi="宋体" w:hint="eastAsia"/>
          <w:sz w:val="44"/>
          <w:szCs w:val="44"/>
        </w:rPr>
      </w:pPr>
    </w:p>
    <w:p w14:paraId="4F5C0507" w14:textId="77777777" w:rsidR="00812C61" w:rsidRPr="00812C61" w:rsidRDefault="00812C61" w:rsidP="00875F6D">
      <w:pPr>
        <w:adjustRightInd w:val="0"/>
        <w:snapToGrid w:val="0"/>
        <w:spacing w:line="360" w:lineRule="auto"/>
        <w:ind w:firstLineChars="200" w:firstLine="880"/>
        <w:rPr>
          <w:rFonts w:ascii="宋体" w:eastAsia="宋体" w:hAnsi="宋体" w:hint="eastAsia"/>
          <w:sz w:val="44"/>
          <w:szCs w:val="44"/>
        </w:rPr>
      </w:pPr>
    </w:p>
    <w:p w14:paraId="318BF673" w14:textId="77777777" w:rsidR="00812C61" w:rsidRPr="00812C61" w:rsidRDefault="00812C61" w:rsidP="00875F6D">
      <w:pPr>
        <w:adjustRightInd w:val="0"/>
        <w:snapToGrid w:val="0"/>
        <w:spacing w:line="360" w:lineRule="auto"/>
        <w:rPr>
          <w:rFonts w:ascii="宋体" w:eastAsia="宋体" w:hAnsi="宋体"/>
          <w:sz w:val="28"/>
          <w:szCs w:val="28"/>
        </w:rPr>
      </w:pPr>
      <w:r w:rsidRPr="00812C61">
        <w:rPr>
          <w:rFonts w:ascii="宋体" w:eastAsia="宋体" w:hAnsi="宋体" w:hint="eastAsia"/>
          <w:sz w:val="28"/>
          <w:szCs w:val="28"/>
        </w:rPr>
        <w:t>省级有关单位：</w:t>
      </w:r>
    </w:p>
    <w:p w14:paraId="70163822" w14:textId="7B926CED"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为落实《浙江省人民政府关于加快供给侧结构性改革的意见》（浙政发〔</w:t>
      </w:r>
      <w:r w:rsidRPr="00812C61">
        <w:rPr>
          <w:rFonts w:ascii="宋体" w:eastAsia="宋体" w:hAnsi="宋体"/>
          <w:sz w:val="28"/>
          <w:szCs w:val="28"/>
        </w:rPr>
        <w:t>2016〕11号）、《浙江省供给侧结构性改革去产能</w:t>
      </w:r>
      <w:r w:rsidRPr="00812C61">
        <w:rPr>
          <w:rFonts w:ascii="宋体" w:eastAsia="宋体" w:hAnsi="宋体" w:hint="eastAsia"/>
          <w:sz w:val="28"/>
          <w:szCs w:val="28"/>
        </w:rPr>
        <w:t>行动方案（</w:t>
      </w:r>
      <w:r w:rsidRPr="00812C61">
        <w:rPr>
          <w:rFonts w:ascii="宋体" w:eastAsia="宋体" w:hAnsi="宋体"/>
          <w:sz w:val="28"/>
          <w:szCs w:val="28"/>
        </w:rPr>
        <w:t>2016-2017年）》（浙政办发〔2016〕79号）和《关于</w:t>
      </w:r>
      <w:r w:rsidRPr="00812C61">
        <w:rPr>
          <w:rFonts w:ascii="宋体" w:eastAsia="宋体" w:hAnsi="宋体" w:hint="eastAsia"/>
          <w:sz w:val="28"/>
          <w:szCs w:val="28"/>
        </w:rPr>
        <w:t>处置“僵尸企业”的指导意见》（浙</w:t>
      </w:r>
      <w:proofErr w:type="gramStart"/>
      <w:r w:rsidRPr="00812C61">
        <w:rPr>
          <w:rFonts w:ascii="宋体" w:eastAsia="宋体" w:hAnsi="宋体" w:hint="eastAsia"/>
          <w:sz w:val="28"/>
          <w:szCs w:val="28"/>
        </w:rPr>
        <w:t>并购办</w:t>
      </w:r>
      <w:proofErr w:type="gramEnd"/>
      <w:r w:rsidRPr="00812C61">
        <w:rPr>
          <w:rFonts w:ascii="宋体" w:eastAsia="宋体" w:hAnsi="宋体" w:hint="eastAsia"/>
          <w:sz w:val="28"/>
          <w:szCs w:val="28"/>
        </w:rPr>
        <w:t>〔</w:t>
      </w:r>
      <w:r w:rsidRPr="00812C61">
        <w:rPr>
          <w:rFonts w:ascii="宋体" w:eastAsia="宋体" w:hAnsi="宋体"/>
          <w:sz w:val="28"/>
          <w:szCs w:val="28"/>
        </w:rPr>
        <w:t>2016〕4 号）以及</w:t>
      </w:r>
      <w:r w:rsidRPr="00812C61">
        <w:rPr>
          <w:rFonts w:ascii="宋体" w:eastAsia="宋体" w:hAnsi="宋体" w:hint="eastAsia"/>
          <w:sz w:val="28"/>
          <w:szCs w:val="28"/>
        </w:rPr>
        <w:t>省预防和化解行政争议工作第八次联席会议精神要求，加强府院联动，积极稳妥推进“僵尸企业”处置工作，建立省级“僵尸企业”处置府院联动机制（以下简称府院联动机制）。</w:t>
      </w:r>
      <w:r w:rsidRPr="00812C61">
        <w:rPr>
          <w:rFonts w:ascii="宋体" w:eastAsia="宋体" w:hAnsi="宋体"/>
          <w:sz w:val="28"/>
          <w:szCs w:val="28"/>
        </w:rPr>
        <w:t xml:space="preserve"> </w:t>
      </w:r>
    </w:p>
    <w:p w14:paraId="1F746983"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一、府院联动机制主要职责</w:t>
      </w:r>
      <w:r w:rsidRPr="00812C61">
        <w:rPr>
          <w:rFonts w:ascii="宋体" w:eastAsia="宋体" w:hAnsi="宋体"/>
          <w:sz w:val="28"/>
          <w:szCs w:val="28"/>
        </w:rPr>
        <w:t xml:space="preserve"> </w:t>
      </w:r>
    </w:p>
    <w:p w14:paraId="64AA9025" w14:textId="76081F59"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（一）贯彻落实中央和省委省政府关于推进企业破产审判和积极稳妥处置“僵尸企业”的决策部署，协调推动企业破产审判工作顺利进行，适用破产机制倒</w:t>
      </w:r>
      <w:proofErr w:type="gramStart"/>
      <w:r w:rsidRPr="00812C61">
        <w:rPr>
          <w:rFonts w:ascii="宋体" w:eastAsia="宋体" w:hAnsi="宋体" w:hint="eastAsia"/>
          <w:sz w:val="28"/>
          <w:szCs w:val="28"/>
        </w:rPr>
        <w:t>逼企业</w:t>
      </w:r>
      <w:proofErr w:type="gramEnd"/>
      <w:r w:rsidRPr="00812C61">
        <w:rPr>
          <w:rFonts w:ascii="宋体" w:eastAsia="宋体" w:hAnsi="宋体" w:hint="eastAsia"/>
          <w:sz w:val="28"/>
          <w:szCs w:val="28"/>
        </w:rPr>
        <w:t>规范经营，使破产重整后的企业能尽快盘活重生、破产清算后的企业能尽快市场出清。</w:t>
      </w:r>
      <w:r w:rsidRPr="00812C61">
        <w:rPr>
          <w:rFonts w:ascii="宋体" w:eastAsia="宋体" w:hAnsi="宋体"/>
          <w:sz w:val="28"/>
          <w:szCs w:val="28"/>
        </w:rPr>
        <w:t xml:space="preserve"> </w:t>
      </w:r>
    </w:p>
    <w:p w14:paraId="0A0D5276" w14:textId="735080EB"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（二）推动企业破产审判体制机制创新，逐步建立预重整司法备案制度，探索破产案件快速审理模式，加快破产案件审判进度，积极</w:t>
      </w:r>
      <w:r w:rsidRPr="00812C61">
        <w:rPr>
          <w:rFonts w:ascii="宋体" w:eastAsia="宋体" w:hAnsi="宋体" w:hint="eastAsia"/>
          <w:sz w:val="28"/>
          <w:szCs w:val="28"/>
        </w:rPr>
        <w:lastRenderedPageBreak/>
        <w:t>发挥破产管理人、资产管理公司、清算公司等第三</w:t>
      </w:r>
      <w:proofErr w:type="gramStart"/>
      <w:r w:rsidRPr="00812C61">
        <w:rPr>
          <w:rFonts w:ascii="宋体" w:eastAsia="宋体" w:hAnsi="宋体" w:hint="eastAsia"/>
          <w:sz w:val="28"/>
          <w:szCs w:val="28"/>
        </w:rPr>
        <w:t>方专业</w:t>
      </w:r>
      <w:proofErr w:type="gramEnd"/>
      <w:r w:rsidRPr="00812C61">
        <w:rPr>
          <w:rFonts w:ascii="宋体" w:eastAsia="宋体" w:hAnsi="宋体" w:hint="eastAsia"/>
          <w:sz w:val="28"/>
          <w:szCs w:val="28"/>
        </w:rPr>
        <w:t>机构作用，促进企业破产审判市场化常态化。</w:t>
      </w:r>
      <w:r w:rsidRPr="00812C61">
        <w:rPr>
          <w:rFonts w:ascii="宋体" w:eastAsia="宋体" w:hAnsi="宋体"/>
          <w:sz w:val="28"/>
          <w:szCs w:val="28"/>
        </w:rPr>
        <w:t xml:space="preserve"> </w:t>
      </w:r>
    </w:p>
    <w:p w14:paraId="50E7CD89" w14:textId="27AECAB8"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三）建立破产企业审判制度化沟通协调机制，发挥政府各相关部门和法院的职能作用，协调解决地方政府和法院提交的破产企业审判涉及的产权瑕疵、债务处理、职工安置、税收优惠、信用修复、企业注销、金融机构参与、破产费用保障以及刑民交叉、打击逃废债等重点难点问题。</w:t>
      </w:r>
      <w:r w:rsidRPr="00812C61">
        <w:rPr>
          <w:rFonts w:ascii="宋体" w:eastAsia="宋体" w:hAnsi="宋体"/>
          <w:sz w:val="28"/>
          <w:szCs w:val="28"/>
        </w:rPr>
        <w:t xml:space="preserve"> </w:t>
      </w:r>
    </w:p>
    <w:p w14:paraId="10F66303" w14:textId="2F19FD7F"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四）建立涉及破产企业和“僵尸企业”信息共享机制，定期监测评估法院和政府部门涉及破产企业和“僵尸企业”的相关信息，及时报送省人民政府和属地市、县（市、区）人民政府，定期通报全省企业破产审判和“僵尸企业”处置工作情况，汇总编发典型案例，总结推广有效做法和经验。</w:t>
      </w:r>
      <w:r w:rsidRPr="00812C61">
        <w:rPr>
          <w:rFonts w:ascii="宋体" w:eastAsia="宋体" w:hAnsi="宋体"/>
          <w:sz w:val="28"/>
          <w:szCs w:val="28"/>
        </w:rPr>
        <w:t xml:space="preserve"> </w:t>
      </w:r>
    </w:p>
    <w:p w14:paraId="77DBB80F" w14:textId="407D869C"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（五）研究解决府院联动机制成员单位提出需要由府院联动机制协调解决的问题。</w:t>
      </w:r>
      <w:r w:rsidRPr="00812C61">
        <w:rPr>
          <w:rFonts w:ascii="宋体" w:eastAsia="宋体" w:hAnsi="宋体"/>
          <w:sz w:val="28"/>
          <w:szCs w:val="28"/>
        </w:rPr>
        <w:t xml:space="preserve"> </w:t>
      </w:r>
    </w:p>
    <w:p w14:paraId="43312105"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二、府院联动机制成员单位及其职责</w:t>
      </w:r>
      <w:r w:rsidRPr="00812C61">
        <w:rPr>
          <w:rFonts w:ascii="宋体" w:eastAsia="宋体" w:hAnsi="宋体"/>
          <w:sz w:val="28"/>
          <w:szCs w:val="28"/>
        </w:rPr>
        <w:t xml:space="preserve"> </w:t>
      </w:r>
    </w:p>
    <w:p w14:paraId="2A584E3B" w14:textId="78D541A2"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府院联动机制由省高院、省经信委、</w:t>
      </w:r>
      <w:proofErr w:type="gramStart"/>
      <w:r w:rsidRPr="00812C61">
        <w:rPr>
          <w:rFonts w:ascii="宋体" w:eastAsia="宋体" w:hAnsi="宋体" w:hint="eastAsia"/>
          <w:sz w:val="28"/>
          <w:szCs w:val="28"/>
        </w:rPr>
        <w:t>省发改</w:t>
      </w:r>
      <w:proofErr w:type="gramEnd"/>
      <w:r w:rsidRPr="00812C61">
        <w:rPr>
          <w:rFonts w:ascii="宋体" w:eastAsia="宋体" w:hAnsi="宋体" w:hint="eastAsia"/>
          <w:sz w:val="28"/>
          <w:szCs w:val="28"/>
        </w:rPr>
        <w:t>委、省科技厅、省公安厅、省财政厅、省人力社保厅、省国土资源厅、省环保厅、省建设厅、省国资委、省地税局、省工商局、省质监局、省统计局、省国税局、省金融办、人行杭州中心支行、浙江银监局、省检察院等</w:t>
      </w:r>
      <w:r w:rsidRPr="00812C61">
        <w:rPr>
          <w:rFonts w:ascii="宋体" w:eastAsia="宋体" w:hAnsi="宋体"/>
          <w:sz w:val="28"/>
          <w:szCs w:val="28"/>
        </w:rPr>
        <w:t xml:space="preserve"> 20 </w:t>
      </w:r>
      <w:proofErr w:type="gramStart"/>
      <w:r w:rsidRPr="00812C61">
        <w:rPr>
          <w:rFonts w:ascii="宋体" w:eastAsia="宋体" w:hAnsi="宋体"/>
          <w:sz w:val="28"/>
          <w:szCs w:val="28"/>
        </w:rPr>
        <w:t>个</w:t>
      </w:r>
      <w:proofErr w:type="gramEnd"/>
      <w:r w:rsidRPr="00812C61">
        <w:rPr>
          <w:rFonts w:ascii="宋体" w:eastAsia="宋体" w:hAnsi="宋体"/>
          <w:sz w:val="28"/>
          <w:szCs w:val="28"/>
        </w:rPr>
        <w:t>部门和单位组成，具体成员名单见附件。省高院</w:t>
      </w:r>
      <w:r w:rsidRPr="00812C61">
        <w:rPr>
          <w:rFonts w:ascii="宋体" w:eastAsia="宋体" w:hAnsi="宋体" w:hint="eastAsia"/>
          <w:sz w:val="28"/>
          <w:szCs w:val="28"/>
        </w:rPr>
        <w:t>和省</w:t>
      </w:r>
      <w:proofErr w:type="gramStart"/>
      <w:r w:rsidRPr="00812C61">
        <w:rPr>
          <w:rFonts w:ascii="宋体" w:eastAsia="宋体" w:hAnsi="宋体" w:hint="eastAsia"/>
          <w:sz w:val="28"/>
          <w:szCs w:val="28"/>
        </w:rPr>
        <w:t>经信委分管</w:t>
      </w:r>
      <w:proofErr w:type="gramEnd"/>
      <w:r w:rsidRPr="00812C61">
        <w:rPr>
          <w:rFonts w:ascii="宋体" w:eastAsia="宋体" w:hAnsi="宋体" w:hint="eastAsia"/>
          <w:sz w:val="28"/>
          <w:szCs w:val="28"/>
        </w:rPr>
        <w:t>领导担任府院联动机制共同召集人，各成员单位指定其相应处室主要负责人为府院联动机制成员；府院联动机制</w:t>
      </w:r>
    </w:p>
    <w:p w14:paraId="259044FA" w14:textId="29D6261C"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联络处设在省高院民二庭和省</w:t>
      </w:r>
      <w:proofErr w:type="gramStart"/>
      <w:r w:rsidRPr="00812C61">
        <w:rPr>
          <w:rFonts w:ascii="宋体" w:eastAsia="宋体" w:hAnsi="宋体" w:hint="eastAsia"/>
          <w:sz w:val="28"/>
          <w:szCs w:val="28"/>
        </w:rPr>
        <w:t>经信委政策研究室</w:t>
      </w:r>
      <w:proofErr w:type="gramEnd"/>
      <w:r w:rsidRPr="00812C61">
        <w:rPr>
          <w:rFonts w:ascii="宋体" w:eastAsia="宋体" w:hAnsi="宋体" w:hint="eastAsia"/>
          <w:sz w:val="28"/>
          <w:szCs w:val="28"/>
        </w:rPr>
        <w:t>，负责办理有关具体事务。根据工作需要，可邀请其他部门单位参加。</w:t>
      </w:r>
      <w:r w:rsidRPr="00812C61">
        <w:rPr>
          <w:rFonts w:ascii="宋体" w:eastAsia="宋体" w:hAnsi="宋体"/>
          <w:sz w:val="28"/>
          <w:szCs w:val="28"/>
        </w:rPr>
        <w:t xml:space="preserve"> </w:t>
      </w:r>
    </w:p>
    <w:p w14:paraId="2FE08A06" w14:textId="7045C73A"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（一）省高院职责：牵头建立府院联动机制，召集召开府院联动</w:t>
      </w:r>
      <w:r w:rsidRPr="00812C61">
        <w:rPr>
          <w:rFonts w:ascii="宋体" w:eastAsia="宋体" w:hAnsi="宋体" w:hint="eastAsia"/>
          <w:sz w:val="28"/>
          <w:szCs w:val="28"/>
        </w:rPr>
        <w:lastRenderedPageBreak/>
        <w:t>机制协调会，统筹汇总提出法院系统在企业破产处置中需要政府部门协调解决的问题，研究解决企业破产处置中需要法院系统解决的问题，推动企业破产审判体制机制创新，每季度通报有关破产审判方面的司法文件、工作制度和重大案件受理、审理、执行情况和相关破产管理人信息，梳理通报破产企业审判典型案例。</w:t>
      </w:r>
      <w:r w:rsidRPr="00812C61">
        <w:rPr>
          <w:rFonts w:ascii="宋体" w:eastAsia="宋体" w:hAnsi="宋体"/>
          <w:sz w:val="28"/>
          <w:szCs w:val="28"/>
        </w:rPr>
        <w:t xml:space="preserve"> </w:t>
      </w:r>
    </w:p>
    <w:p w14:paraId="3EB6F3CE" w14:textId="77F75B0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（二）省经</w:t>
      </w:r>
      <w:proofErr w:type="gramStart"/>
      <w:r w:rsidRPr="00812C61">
        <w:rPr>
          <w:rFonts w:ascii="宋体" w:eastAsia="宋体" w:hAnsi="宋体" w:hint="eastAsia"/>
          <w:sz w:val="28"/>
          <w:szCs w:val="28"/>
        </w:rPr>
        <w:t>信委职责</w:t>
      </w:r>
      <w:proofErr w:type="gramEnd"/>
      <w:r w:rsidRPr="00812C61">
        <w:rPr>
          <w:rFonts w:ascii="宋体" w:eastAsia="宋体" w:hAnsi="宋体" w:hint="eastAsia"/>
          <w:sz w:val="28"/>
          <w:szCs w:val="28"/>
        </w:rPr>
        <w:t>：牵头建立府院联动机制，召集召开府院联动机制协调会，统筹汇总提出各地、各部门在企业破产处置中需要法院系统协调解决的问题，协调企业破产审判中需要政府部门协调解决的问题，每季度通报“僵尸企业”处置工作相关情况，每季度汇总分析通报法院和政府各部门涉及“僵尸企业”和破产企业等相关信息，组织编写发布“僵尸企业”处置典型案例。</w:t>
      </w:r>
      <w:r w:rsidRPr="00812C61">
        <w:rPr>
          <w:rFonts w:ascii="宋体" w:eastAsia="宋体" w:hAnsi="宋体"/>
          <w:sz w:val="28"/>
          <w:szCs w:val="28"/>
        </w:rPr>
        <w:t xml:space="preserve"> </w:t>
      </w:r>
    </w:p>
    <w:p w14:paraId="0BB3F603"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（三）</w:t>
      </w:r>
      <w:proofErr w:type="gramStart"/>
      <w:r w:rsidRPr="00812C61">
        <w:rPr>
          <w:rFonts w:ascii="宋体" w:eastAsia="宋体" w:hAnsi="宋体" w:hint="eastAsia"/>
          <w:sz w:val="28"/>
          <w:szCs w:val="28"/>
        </w:rPr>
        <w:t>省发改</w:t>
      </w:r>
      <w:proofErr w:type="gramEnd"/>
      <w:r w:rsidRPr="00812C61">
        <w:rPr>
          <w:rFonts w:ascii="宋体" w:eastAsia="宋体" w:hAnsi="宋体" w:hint="eastAsia"/>
          <w:sz w:val="28"/>
          <w:szCs w:val="28"/>
        </w:rPr>
        <w:t>委职责：牵头推动钢铁行业去产能工作。</w:t>
      </w:r>
      <w:r w:rsidRPr="00812C61">
        <w:rPr>
          <w:rFonts w:ascii="宋体" w:eastAsia="宋体" w:hAnsi="宋体"/>
          <w:sz w:val="28"/>
          <w:szCs w:val="28"/>
        </w:rPr>
        <w:t xml:space="preserve"> </w:t>
      </w:r>
    </w:p>
    <w:p w14:paraId="5E92F7D2" w14:textId="3E3D7EBF"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（四）省科技厅职责：研究制订和落实破产企业和“僵尸企业”处置过程中涉及的高新技术企业、省级重点企业研究院、继续承担省级科研项目等优惠政策的延续享用政策。</w:t>
      </w:r>
      <w:r w:rsidRPr="00812C61">
        <w:rPr>
          <w:rFonts w:ascii="宋体" w:eastAsia="宋体" w:hAnsi="宋体"/>
          <w:sz w:val="28"/>
          <w:szCs w:val="28"/>
        </w:rPr>
        <w:t xml:space="preserve"> </w:t>
      </w:r>
    </w:p>
    <w:p w14:paraId="2843DDC3" w14:textId="58344D50"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（五）省公安厅职责：积极开展打击恶意逃废债行动，依法查处涉嫌犯罪案件，加强</w:t>
      </w:r>
      <w:proofErr w:type="gramStart"/>
      <w:r w:rsidRPr="00812C61">
        <w:rPr>
          <w:rFonts w:ascii="宋体" w:eastAsia="宋体" w:hAnsi="宋体" w:hint="eastAsia"/>
          <w:sz w:val="28"/>
          <w:szCs w:val="28"/>
        </w:rPr>
        <w:t>防逃控逃工作</w:t>
      </w:r>
      <w:proofErr w:type="gramEnd"/>
      <w:r w:rsidRPr="00812C61">
        <w:rPr>
          <w:rFonts w:ascii="宋体" w:eastAsia="宋体" w:hAnsi="宋体" w:hint="eastAsia"/>
          <w:sz w:val="28"/>
          <w:szCs w:val="28"/>
        </w:rPr>
        <w:t>，努力追赃挽损。</w:t>
      </w:r>
    </w:p>
    <w:p w14:paraId="74C8A0E2" w14:textId="6986CD6D"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（六）省财政厅职责：推动、指导各地安排企业破产相关专项经费。</w:t>
      </w:r>
      <w:r w:rsidRPr="00812C61">
        <w:rPr>
          <w:rFonts w:ascii="宋体" w:eastAsia="宋体" w:hAnsi="宋体"/>
          <w:sz w:val="28"/>
          <w:szCs w:val="28"/>
        </w:rPr>
        <w:t xml:space="preserve"> </w:t>
      </w:r>
    </w:p>
    <w:p w14:paraId="13F0A88E" w14:textId="7ACA6C6B"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（七）省人力社保厅职责：研究制订破产企业和“僵尸企业”处置职工安置相关政策，牵头做好破产企业和“僵尸企业”处置过程中职工的劳动关系处理和就业安置工作，每季度通报连续</w:t>
      </w:r>
      <w:r w:rsidRPr="00812C61">
        <w:rPr>
          <w:rFonts w:ascii="宋体" w:eastAsia="宋体" w:hAnsi="宋体"/>
          <w:sz w:val="28"/>
          <w:szCs w:val="28"/>
        </w:rPr>
        <w:t>1</w:t>
      </w:r>
      <w:r w:rsidRPr="00812C61">
        <w:rPr>
          <w:rFonts w:ascii="宋体" w:eastAsia="宋体" w:hAnsi="宋体" w:hint="eastAsia"/>
          <w:sz w:val="28"/>
          <w:szCs w:val="28"/>
        </w:rPr>
        <w:t>年以上欠薪、欠费企业情况。</w:t>
      </w:r>
      <w:r w:rsidRPr="00812C61">
        <w:rPr>
          <w:rFonts w:ascii="宋体" w:eastAsia="宋体" w:hAnsi="宋体"/>
          <w:sz w:val="28"/>
          <w:szCs w:val="28"/>
        </w:rPr>
        <w:t xml:space="preserve"> </w:t>
      </w:r>
    </w:p>
    <w:p w14:paraId="3173C2A5" w14:textId="30AB7219"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（八）省国土资源厅职责：研究制订和落实破产企业和“僵尸企业”处置土地管理相关策。</w:t>
      </w:r>
      <w:r w:rsidRPr="00812C61">
        <w:rPr>
          <w:rFonts w:ascii="宋体" w:eastAsia="宋体" w:hAnsi="宋体"/>
          <w:sz w:val="28"/>
          <w:szCs w:val="28"/>
        </w:rPr>
        <w:t xml:space="preserve"> </w:t>
      </w:r>
    </w:p>
    <w:p w14:paraId="053E70DB" w14:textId="3E2F0DAD"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lastRenderedPageBreak/>
        <w:t>（九）省环保厅职责：指导地方各级环保部门做好破产企业和“僵尸企业”处置过程中涉及的环评等变更手续，制订和落实通过有偿使用和市场交易取得的排污</w:t>
      </w:r>
      <w:proofErr w:type="gramStart"/>
      <w:r w:rsidRPr="00812C61">
        <w:rPr>
          <w:rFonts w:ascii="宋体" w:eastAsia="宋体" w:hAnsi="宋体" w:hint="eastAsia"/>
          <w:sz w:val="28"/>
          <w:szCs w:val="28"/>
        </w:rPr>
        <w:t>权指标</w:t>
      </w:r>
      <w:proofErr w:type="gramEnd"/>
      <w:r w:rsidRPr="00812C61">
        <w:rPr>
          <w:rFonts w:ascii="宋体" w:eastAsia="宋体" w:hAnsi="宋体" w:hint="eastAsia"/>
          <w:sz w:val="28"/>
          <w:szCs w:val="28"/>
        </w:rPr>
        <w:t>继承使用等政策。</w:t>
      </w:r>
      <w:r w:rsidRPr="00812C61">
        <w:rPr>
          <w:rFonts w:ascii="宋体" w:eastAsia="宋体" w:hAnsi="宋体"/>
          <w:sz w:val="28"/>
          <w:szCs w:val="28"/>
        </w:rPr>
        <w:t xml:space="preserve"> </w:t>
      </w:r>
    </w:p>
    <w:p w14:paraId="0081C92C" w14:textId="2E2C6DC8"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（十）省建设厅职责：研究制定和落实破产企业和“僵尸企业”处置中涉及的有关城乡规划和房屋交易等政策。</w:t>
      </w:r>
      <w:r w:rsidRPr="00812C61">
        <w:rPr>
          <w:rFonts w:ascii="宋体" w:eastAsia="宋体" w:hAnsi="宋体"/>
          <w:sz w:val="28"/>
          <w:szCs w:val="28"/>
        </w:rPr>
        <w:t xml:space="preserve">  </w:t>
      </w:r>
    </w:p>
    <w:p w14:paraId="19B42428" w14:textId="319CE232"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（十一）省国资委职责：推动、指导省属国有破产企业和“僵尸企业”处置工作，不定</w:t>
      </w:r>
      <w:proofErr w:type="gramStart"/>
      <w:r w:rsidRPr="00812C61">
        <w:rPr>
          <w:rFonts w:ascii="宋体" w:eastAsia="宋体" w:hAnsi="宋体" w:hint="eastAsia"/>
          <w:sz w:val="28"/>
          <w:szCs w:val="28"/>
        </w:rPr>
        <w:t>期汇总分析</w:t>
      </w:r>
      <w:proofErr w:type="gramEnd"/>
      <w:r w:rsidRPr="00812C61">
        <w:rPr>
          <w:rFonts w:ascii="宋体" w:eastAsia="宋体" w:hAnsi="宋体" w:hint="eastAsia"/>
          <w:sz w:val="28"/>
          <w:szCs w:val="28"/>
        </w:rPr>
        <w:t>省属国有破产企业和“僵尸企业”处置工作情况。</w:t>
      </w:r>
      <w:r w:rsidRPr="00812C61">
        <w:rPr>
          <w:rFonts w:ascii="宋体" w:eastAsia="宋体" w:hAnsi="宋体"/>
          <w:sz w:val="28"/>
          <w:szCs w:val="28"/>
        </w:rPr>
        <w:t xml:space="preserve"> </w:t>
      </w:r>
    </w:p>
    <w:p w14:paraId="1CD35B7C" w14:textId="57E50BF0"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（十二）省地税局职责：宣传和落实破产企业和“僵尸企业”处置的税收优惠政策，完善落实破产重整企业在引入战略投资人后办理税务变更政策，每季度公告欠税企业情况。</w:t>
      </w:r>
      <w:r w:rsidRPr="00812C61">
        <w:rPr>
          <w:rFonts w:ascii="宋体" w:eastAsia="宋体" w:hAnsi="宋体"/>
          <w:sz w:val="28"/>
          <w:szCs w:val="28"/>
        </w:rPr>
        <w:t xml:space="preserve"> </w:t>
      </w:r>
    </w:p>
    <w:p w14:paraId="39714022" w14:textId="0A93BBED"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（十三）省工商局职责：研究落实破产企业和“僵尸企业”注销登记政策。</w:t>
      </w:r>
    </w:p>
    <w:p w14:paraId="2D486E22" w14:textId="05532BB9"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（十四）省质监局职责：研究制订和落实破产企业和“僵尸企业”处置中涉及的生产许可、资质证明等的变更登记政策。</w:t>
      </w:r>
      <w:r w:rsidRPr="00812C61">
        <w:rPr>
          <w:rFonts w:ascii="宋体" w:eastAsia="宋体" w:hAnsi="宋体"/>
          <w:sz w:val="28"/>
          <w:szCs w:val="28"/>
        </w:rPr>
        <w:t xml:space="preserve"> </w:t>
      </w:r>
    </w:p>
    <w:p w14:paraId="173FB123" w14:textId="23D89F84"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（十五）省统计局职责：每季度报送已退出规模以上工业企业库，或者在库企业中资产负债率超过</w:t>
      </w:r>
      <w:r w:rsidRPr="00812C61">
        <w:rPr>
          <w:rFonts w:ascii="宋体" w:eastAsia="宋体" w:hAnsi="宋体"/>
          <w:sz w:val="28"/>
          <w:szCs w:val="28"/>
        </w:rPr>
        <w:t>100%且连续亏损1年以上</w:t>
      </w:r>
      <w:r w:rsidRPr="00812C61">
        <w:rPr>
          <w:rFonts w:ascii="宋体" w:eastAsia="宋体" w:hAnsi="宋体" w:hint="eastAsia"/>
          <w:sz w:val="28"/>
          <w:szCs w:val="28"/>
        </w:rPr>
        <w:t>中疑似“僵尸企业”的企业名录。</w:t>
      </w:r>
      <w:r w:rsidRPr="00812C61">
        <w:rPr>
          <w:rFonts w:ascii="宋体" w:eastAsia="宋体" w:hAnsi="宋体"/>
          <w:sz w:val="28"/>
          <w:szCs w:val="28"/>
        </w:rPr>
        <w:t xml:space="preserve"> </w:t>
      </w:r>
    </w:p>
    <w:p w14:paraId="0AD7AACE" w14:textId="47281532"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十六）省国税局职责：牵头宣传和落实破产企业和“僵尸企业”处置的税收优惠政策，完善落实破产重整企业在引入战略投资人后办理税务变更政策，支持金融机构加快破产企业和“僵尸企业”不良贷款核销，每季度通报连续</w:t>
      </w:r>
      <w:r w:rsidRPr="00812C61">
        <w:rPr>
          <w:rFonts w:ascii="宋体" w:eastAsia="宋体" w:hAnsi="宋体"/>
          <w:sz w:val="28"/>
          <w:szCs w:val="28"/>
        </w:rPr>
        <w:t xml:space="preserve">1年以上欠税企业情况。 </w:t>
      </w:r>
    </w:p>
    <w:p w14:paraId="061E53D4" w14:textId="67C1FB66"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（十七）省金融办职责：组织开展打击逃废债行动，加强对破产企业和“僵尸企业”处置的金融协调。</w:t>
      </w:r>
      <w:r w:rsidRPr="00812C61">
        <w:rPr>
          <w:rFonts w:ascii="宋体" w:eastAsia="宋体" w:hAnsi="宋体"/>
          <w:sz w:val="28"/>
          <w:szCs w:val="28"/>
        </w:rPr>
        <w:t xml:space="preserve"> </w:t>
      </w:r>
    </w:p>
    <w:p w14:paraId="75611888" w14:textId="6B4293EF"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（十八）人行杭州中心支行职责：完善落实破产企业和“僵尸企</w:t>
      </w:r>
      <w:r w:rsidRPr="00812C61">
        <w:rPr>
          <w:rFonts w:ascii="宋体" w:eastAsia="宋体" w:hAnsi="宋体" w:hint="eastAsia"/>
          <w:sz w:val="28"/>
          <w:szCs w:val="28"/>
        </w:rPr>
        <w:lastRenderedPageBreak/>
        <w:t>业”在引入战略投资人后人民银行征信系统修复政策，引导金融机构参与破产程序的积极性，每季度</w:t>
      </w:r>
      <w:proofErr w:type="gramStart"/>
      <w:r w:rsidRPr="00812C61">
        <w:rPr>
          <w:rFonts w:ascii="宋体" w:eastAsia="宋体" w:hAnsi="宋体" w:hint="eastAsia"/>
          <w:sz w:val="28"/>
          <w:szCs w:val="28"/>
        </w:rPr>
        <w:t>通报涉贷出险</w:t>
      </w:r>
      <w:proofErr w:type="gramEnd"/>
      <w:r w:rsidRPr="00812C61">
        <w:rPr>
          <w:rFonts w:ascii="宋体" w:eastAsia="宋体" w:hAnsi="宋体" w:hint="eastAsia"/>
          <w:sz w:val="28"/>
          <w:szCs w:val="28"/>
        </w:rPr>
        <w:t>企业情况，每半年度通报</w:t>
      </w:r>
      <w:proofErr w:type="gramStart"/>
      <w:r w:rsidRPr="00812C61">
        <w:rPr>
          <w:rFonts w:ascii="宋体" w:eastAsia="宋体" w:hAnsi="宋体" w:hint="eastAsia"/>
          <w:sz w:val="28"/>
          <w:szCs w:val="28"/>
        </w:rPr>
        <w:t>涉贷企业</w:t>
      </w:r>
      <w:proofErr w:type="gramEnd"/>
      <w:r w:rsidRPr="00812C61">
        <w:rPr>
          <w:rFonts w:ascii="宋体" w:eastAsia="宋体" w:hAnsi="宋体" w:hint="eastAsia"/>
          <w:sz w:val="28"/>
          <w:szCs w:val="28"/>
        </w:rPr>
        <w:t>逃废债情况，依法、依规支持相关单位查控破产企业和“僵尸企业”账户资金流向，配合开展打击逃废债务行动、防范不合理的对外投资和转移资产行为。</w:t>
      </w:r>
      <w:r w:rsidRPr="00812C61">
        <w:rPr>
          <w:rFonts w:ascii="宋体" w:eastAsia="宋体" w:hAnsi="宋体"/>
          <w:sz w:val="28"/>
          <w:szCs w:val="28"/>
        </w:rPr>
        <w:t xml:space="preserve"> </w:t>
      </w:r>
    </w:p>
    <w:p w14:paraId="609D34F5" w14:textId="7F65E86C"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十九）浙江银监局职责：推动银行业金融机构参与企业破产处置，督促银行业金融机构对符合一定条件的“僵尸企业”及时组建银行业金融机构债权人委员会，督促落实浙江银行业联合惩戒逃废金融债务行为的有关要求，对“僵尸企业”的逃废债行为依法采取联合惩戒措施。</w:t>
      </w:r>
    </w:p>
    <w:p w14:paraId="7780C261" w14:textId="313E83C3"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（二十）省检察院职责：建立健全惩治虚假诉讼的协作机制，开展打击逃废债行动。</w:t>
      </w:r>
      <w:r w:rsidRPr="00812C61">
        <w:rPr>
          <w:rFonts w:ascii="宋体" w:eastAsia="宋体" w:hAnsi="宋体"/>
          <w:sz w:val="28"/>
          <w:szCs w:val="28"/>
        </w:rPr>
        <w:t xml:space="preserve"> </w:t>
      </w:r>
    </w:p>
    <w:p w14:paraId="21ADF189"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三、工作规则</w:t>
      </w:r>
      <w:r w:rsidRPr="00812C61">
        <w:rPr>
          <w:rFonts w:ascii="宋体" w:eastAsia="宋体" w:hAnsi="宋体"/>
          <w:sz w:val="28"/>
          <w:szCs w:val="28"/>
        </w:rPr>
        <w:t xml:space="preserve"> </w:t>
      </w:r>
    </w:p>
    <w:p w14:paraId="03926AC7" w14:textId="0E23E40F"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府院联动机制协调会议原则上每半年召开一次全体会议，必要时可根据工作需要，不定期召开全体会议或部分成员单位会议。</w:t>
      </w:r>
    </w:p>
    <w:p w14:paraId="11F0BCD0" w14:textId="5B88353A" w:rsidR="00812C61" w:rsidRPr="00812C61" w:rsidRDefault="00812C61" w:rsidP="00875F6D">
      <w:pPr>
        <w:adjustRightInd w:val="0"/>
        <w:snapToGrid w:val="0"/>
        <w:spacing w:line="360" w:lineRule="auto"/>
        <w:ind w:firstLineChars="200" w:firstLine="560"/>
        <w:rPr>
          <w:rFonts w:ascii="宋体" w:eastAsia="宋体" w:hAnsi="宋体"/>
          <w:sz w:val="28"/>
          <w:szCs w:val="28"/>
        </w:rPr>
      </w:pPr>
    </w:p>
    <w:p w14:paraId="60BD6882"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省</w:t>
      </w:r>
      <w:proofErr w:type="gramStart"/>
      <w:r w:rsidRPr="00812C61">
        <w:rPr>
          <w:rFonts w:ascii="宋体" w:eastAsia="宋体" w:hAnsi="宋体" w:hint="eastAsia"/>
          <w:sz w:val="28"/>
          <w:szCs w:val="28"/>
        </w:rPr>
        <w:t>并购办</w:t>
      </w:r>
      <w:proofErr w:type="gramEnd"/>
      <w:r w:rsidRPr="00812C61">
        <w:rPr>
          <w:rFonts w:ascii="宋体" w:eastAsia="宋体" w:hAnsi="宋体"/>
          <w:sz w:val="28"/>
          <w:szCs w:val="28"/>
        </w:rPr>
        <w:t xml:space="preserve">                省高院             省经信委   </w:t>
      </w:r>
    </w:p>
    <w:p w14:paraId="5D5F2E26"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sz w:val="28"/>
          <w:szCs w:val="28"/>
        </w:rPr>
        <w:t>(省经</w:t>
      </w:r>
      <w:proofErr w:type="gramStart"/>
      <w:r w:rsidRPr="00812C61">
        <w:rPr>
          <w:rFonts w:ascii="宋体" w:eastAsia="宋体" w:hAnsi="宋体"/>
          <w:sz w:val="28"/>
          <w:szCs w:val="28"/>
        </w:rPr>
        <w:t>信委代</w:t>
      </w:r>
      <w:proofErr w:type="gramEnd"/>
      <w:r w:rsidRPr="00812C61">
        <w:rPr>
          <w:rFonts w:ascii="宋体" w:eastAsia="宋体" w:hAnsi="宋体"/>
          <w:sz w:val="28"/>
          <w:szCs w:val="28"/>
        </w:rPr>
        <w:t xml:space="preserve">章） </w:t>
      </w:r>
    </w:p>
    <w:p w14:paraId="136EDEB8" w14:textId="195D3B4C"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sz w:val="28"/>
          <w:szCs w:val="28"/>
        </w:rPr>
        <w:t>2016 年10 月 31日</w:t>
      </w:r>
    </w:p>
    <w:p w14:paraId="423B5BA6" w14:textId="1E261BF6" w:rsidR="00812C61" w:rsidRPr="00812C61" w:rsidRDefault="00812C61" w:rsidP="00875F6D">
      <w:pPr>
        <w:adjustRightInd w:val="0"/>
        <w:snapToGrid w:val="0"/>
        <w:spacing w:line="360" w:lineRule="auto"/>
        <w:ind w:firstLineChars="200" w:firstLine="560"/>
        <w:rPr>
          <w:rFonts w:ascii="宋体" w:eastAsia="宋体" w:hAnsi="宋体" w:hint="eastAsia"/>
          <w:sz w:val="28"/>
          <w:szCs w:val="28"/>
        </w:rPr>
      </w:pPr>
      <w:r w:rsidRPr="00812C61">
        <w:rPr>
          <w:rFonts w:ascii="宋体" w:eastAsia="宋体" w:hAnsi="宋体" w:hint="eastAsia"/>
          <w:sz w:val="28"/>
          <w:szCs w:val="28"/>
        </w:rPr>
        <w:t>附件</w:t>
      </w:r>
      <w:r w:rsidRPr="00812C61">
        <w:rPr>
          <w:rFonts w:ascii="宋体" w:eastAsia="宋体" w:hAnsi="宋体"/>
          <w:sz w:val="28"/>
          <w:szCs w:val="28"/>
        </w:rPr>
        <w:t xml:space="preserve"> </w:t>
      </w:r>
    </w:p>
    <w:p w14:paraId="7A37C0D3"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召集人：朱深远（省高院副院长）</w:t>
      </w:r>
      <w:r w:rsidRPr="00812C61">
        <w:rPr>
          <w:rFonts w:ascii="宋体" w:eastAsia="宋体" w:hAnsi="宋体"/>
          <w:sz w:val="28"/>
          <w:szCs w:val="28"/>
        </w:rPr>
        <w:t xml:space="preserve"> </w:t>
      </w:r>
    </w:p>
    <w:p w14:paraId="47ED5078"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sz w:val="28"/>
          <w:szCs w:val="28"/>
        </w:rPr>
        <w:t xml:space="preserve">        陈建忠（省</w:t>
      </w:r>
      <w:proofErr w:type="gramStart"/>
      <w:r w:rsidRPr="00812C61">
        <w:rPr>
          <w:rFonts w:ascii="宋体" w:eastAsia="宋体" w:hAnsi="宋体"/>
          <w:sz w:val="28"/>
          <w:szCs w:val="28"/>
        </w:rPr>
        <w:t>经信委副</w:t>
      </w:r>
      <w:proofErr w:type="gramEnd"/>
      <w:r w:rsidRPr="00812C61">
        <w:rPr>
          <w:rFonts w:ascii="宋体" w:eastAsia="宋体" w:hAnsi="宋体"/>
          <w:sz w:val="28"/>
          <w:szCs w:val="28"/>
        </w:rPr>
        <w:t xml:space="preserve">主任） </w:t>
      </w:r>
    </w:p>
    <w:p w14:paraId="7634E222"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成</w:t>
      </w:r>
      <w:r w:rsidRPr="00812C61">
        <w:rPr>
          <w:rFonts w:ascii="宋体" w:eastAsia="宋体" w:hAnsi="宋体"/>
          <w:sz w:val="28"/>
          <w:szCs w:val="28"/>
        </w:rPr>
        <w:t xml:space="preserve">  员：</w:t>
      </w:r>
      <w:proofErr w:type="gramStart"/>
      <w:r w:rsidRPr="00812C61">
        <w:rPr>
          <w:rFonts w:ascii="宋体" w:eastAsia="宋体" w:hAnsi="宋体"/>
          <w:sz w:val="28"/>
          <w:szCs w:val="28"/>
        </w:rPr>
        <w:t>章恒筑</w:t>
      </w:r>
      <w:proofErr w:type="gramEnd"/>
      <w:r w:rsidRPr="00812C61">
        <w:rPr>
          <w:rFonts w:ascii="宋体" w:eastAsia="宋体" w:hAnsi="宋体"/>
          <w:sz w:val="28"/>
          <w:szCs w:val="28"/>
        </w:rPr>
        <w:t xml:space="preserve">（省高院民二庭庭长） </w:t>
      </w:r>
    </w:p>
    <w:p w14:paraId="65D42AAF"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金菊萍（</w:t>
      </w:r>
      <w:proofErr w:type="gramStart"/>
      <w:r w:rsidRPr="00812C61">
        <w:rPr>
          <w:rFonts w:ascii="宋体" w:eastAsia="宋体" w:hAnsi="宋体" w:hint="eastAsia"/>
          <w:sz w:val="28"/>
          <w:szCs w:val="28"/>
        </w:rPr>
        <w:t>省发改委产业</w:t>
      </w:r>
      <w:proofErr w:type="gramEnd"/>
      <w:r w:rsidRPr="00812C61">
        <w:rPr>
          <w:rFonts w:ascii="宋体" w:eastAsia="宋体" w:hAnsi="宋体" w:hint="eastAsia"/>
          <w:sz w:val="28"/>
          <w:szCs w:val="28"/>
        </w:rPr>
        <w:t>处处长）</w:t>
      </w:r>
      <w:r w:rsidRPr="00812C61">
        <w:rPr>
          <w:rFonts w:ascii="宋体" w:eastAsia="宋体" w:hAnsi="宋体"/>
          <w:sz w:val="28"/>
          <w:szCs w:val="28"/>
        </w:rPr>
        <w:t xml:space="preserve"> </w:t>
      </w:r>
    </w:p>
    <w:p w14:paraId="177670FD"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应云进（省经</w:t>
      </w:r>
      <w:proofErr w:type="gramStart"/>
      <w:r w:rsidRPr="00812C61">
        <w:rPr>
          <w:rFonts w:ascii="宋体" w:eastAsia="宋体" w:hAnsi="宋体" w:hint="eastAsia"/>
          <w:sz w:val="28"/>
          <w:szCs w:val="28"/>
        </w:rPr>
        <w:t>信委政研</w:t>
      </w:r>
      <w:proofErr w:type="gramEnd"/>
      <w:r w:rsidRPr="00812C61">
        <w:rPr>
          <w:rFonts w:ascii="宋体" w:eastAsia="宋体" w:hAnsi="宋体" w:hint="eastAsia"/>
          <w:sz w:val="28"/>
          <w:szCs w:val="28"/>
        </w:rPr>
        <w:t>室主任）</w:t>
      </w:r>
      <w:r w:rsidRPr="00812C61">
        <w:rPr>
          <w:rFonts w:ascii="宋体" w:eastAsia="宋体" w:hAnsi="宋体"/>
          <w:sz w:val="28"/>
          <w:szCs w:val="28"/>
        </w:rPr>
        <w:t xml:space="preserve"> </w:t>
      </w:r>
    </w:p>
    <w:p w14:paraId="35D96597"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lastRenderedPageBreak/>
        <w:t>赵新龙（省科技厅高新处处长）</w:t>
      </w:r>
      <w:r w:rsidRPr="00812C61">
        <w:rPr>
          <w:rFonts w:ascii="宋体" w:eastAsia="宋体" w:hAnsi="宋体"/>
          <w:sz w:val="28"/>
          <w:szCs w:val="28"/>
        </w:rPr>
        <w:t xml:space="preserve"> </w:t>
      </w:r>
    </w:p>
    <w:p w14:paraId="701B16DD"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蔄</w:t>
      </w:r>
      <w:r w:rsidRPr="00812C61">
        <w:rPr>
          <w:rFonts w:ascii="宋体" w:eastAsia="宋体" w:hAnsi="宋体"/>
          <w:sz w:val="28"/>
          <w:szCs w:val="28"/>
        </w:rPr>
        <w:t xml:space="preserve">  牛（省公安厅经侦总队总队长）  </w:t>
      </w:r>
    </w:p>
    <w:p w14:paraId="5A49014A"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叶光胜（省财政厅企业处处长）</w:t>
      </w:r>
      <w:r w:rsidRPr="00812C61">
        <w:rPr>
          <w:rFonts w:ascii="宋体" w:eastAsia="宋体" w:hAnsi="宋体"/>
          <w:sz w:val="28"/>
          <w:szCs w:val="28"/>
        </w:rPr>
        <w:t xml:space="preserve"> </w:t>
      </w:r>
    </w:p>
    <w:p w14:paraId="3DC34807"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proofErr w:type="gramStart"/>
      <w:r w:rsidRPr="00812C61">
        <w:rPr>
          <w:rFonts w:ascii="宋体" w:eastAsia="宋体" w:hAnsi="宋体" w:hint="eastAsia"/>
          <w:sz w:val="28"/>
          <w:szCs w:val="28"/>
        </w:rPr>
        <w:t>郑益群</w:t>
      </w:r>
      <w:proofErr w:type="gramEnd"/>
      <w:r w:rsidRPr="00812C61">
        <w:rPr>
          <w:rFonts w:ascii="宋体" w:eastAsia="宋体" w:hAnsi="宋体" w:hint="eastAsia"/>
          <w:sz w:val="28"/>
          <w:szCs w:val="28"/>
        </w:rPr>
        <w:t>（省人力社保厅劳动关系处处长）</w:t>
      </w:r>
      <w:r w:rsidRPr="00812C61">
        <w:rPr>
          <w:rFonts w:ascii="宋体" w:eastAsia="宋体" w:hAnsi="宋体"/>
          <w:sz w:val="28"/>
          <w:szCs w:val="28"/>
        </w:rPr>
        <w:t xml:space="preserve"> </w:t>
      </w:r>
    </w:p>
    <w:p w14:paraId="07AF0DB6"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姜建明（省国土厅土地利用管理处处长）</w:t>
      </w:r>
      <w:r w:rsidRPr="00812C61">
        <w:rPr>
          <w:rFonts w:ascii="宋体" w:eastAsia="宋体" w:hAnsi="宋体"/>
          <w:sz w:val="28"/>
          <w:szCs w:val="28"/>
        </w:rPr>
        <w:t xml:space="preserve"> </w:t>
      </w:r>
    </w:p>
    <w:p w14:paraId="61ADB870"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林泉军（省环保厅建设项目管理处处长）</w:t>
      </w:r>
      <w:r w:rsidRPr="00812C61">
        <w:rPr>
          <w:rFonts w:ascii="宋体" w:eastAsia="宋体" w:hAnsi="宋体"/>
          <w:sz w:val="28"/>
          <w:szCs w:val="28"/>
        </w:rPr>
        <w:t xml:space="preserve"> </w:t>
      </w:r>
    </w:p>
    <w:p w14:paraId="608978CD"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proofErr w:type="gramStart"/>
      <w:r w:rsidRPr="00812C61">
        <w:rPr>
          <w:rFonts w:ascii="宋体" w:eastAsia="宋体" w:hAnsi="宋体" w:hint="eastAsia"/>
          <w:sz w:val="28"/>
          <w:szCs w:val="28"/>
        </w:rPr>
        <w:t>寿欢林</w:t>
      </w:r>
      <w:proofErr w:type="gramEnd"/>
      <w:r w:rsidRPr="00812C61">
        <w:rPr>
          <w:rFonts w:ascii="宋体" w:eastAsia="宋体" w:hAnsi="宋体" w:hint="eastAsia"/>
          <w:sz w:val="28"/>
          <w:szCs w:val="28"/>
        </w:rPr>
        <w:t>（省建设厅房地产市场建管处处长）</w:t>
      </w:r>
      <w:r w:rsidRPr="00812C61">
        <w:rPr>
          <w:rFonts w:ascii="宋体" w:eastAsia="宋体" w:hAnsi="宋体"/>
          <w:sz w:val="28"/>
          <w:szCs w:val="28"/>
        </w:rPr>
        <w:t xml:space="preserve"> </w:t>
      </w:r>
    </w:p>
    <w:p w14:paraId="14EC41B1"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童海桑（省国资委企改处处长）</w:t>
      </w:r>
      <w:r w:rsidRPr="00812C61">
        <w:rPr>
          <w:rFonts w:ascii="宋体" w:eastAsia="宋体" w:hAnsi="宋体"/>
          <w:sz w:val="28"/>
          <w:szCs w:val="28"/>
        </w:rPr>
        <w:t xml:space="preserve"> </w:t>
      </w:r>
    </w:p>
    <w:p w14:paraId="46A0E862"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proofErr w:type="gramStart"/>
      <w:r w:rsidRPr="00812C61">
        <w:rPr>
          <w:rFonts w:ascii="宋体" w:eastAsia="宋体" w:hAnsi="宋体" w:hint="eastAsia"/>
          <w:sz w:val="28"/>
          <w:szCs w:val="28"/>
        </w:rPr>
        <w:t>宋根松</w:t>
      </w:r>
      <w:proofErr w:type="gramEnd"/>
      <w:r w:rsidRPr="00812C61">
        <w:rPr>
          <w:rFonts w:ascii="宋体" w:eastAsia="宋体" w:hAnsi="宋体" w:hint="eastAsia"/>
          <w:sz w:val="28"/>
          <w:szCs w:val="28"/>
        </w:rPr>
        <w:t>（省地税局税政三处处长）</w:t>
      </w:r>
      <w:r w:rsidRPr="00812C61">
        <w:rPr>
          <w:rFonts w:ascii="宋体" w:eastAsia="宋体" w:hAnsi="宋体"/>
          <w:sz w:val="28"/>
          <w:szCs w:val="28"/>
        </w:rPr>
        <w:t xml:space="preserve"> </w:t>
      </w:r>
    </w:p>
    <w:p w14:paraId="25FFE393"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陈建平（省工商局企业处副处长、主持工作）</w:t>
      </w:r>
      <w:r w:rsidRPr="00812C61">
        <w:rPr>
          <w:rFonts w:ascii="宋体" w:eastAsia="宋体" w:hAnsi="宋体"/>
          <w:sz w:val="28"/>
          <w:szCs w:val="28"/>
        </w:rPr>
        <w:t xml:space="preserve"> </w:t>
      </w:r>
    </w:p>
    <w:p w14:paraId="64CA4E6D"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沈华清（省质监局产品质量监督稽查处处长）</w:t>
      </w:r>
      <w:r w:rsidRPr="00812C61">
        <w:rPr>
          <w:rFonts w:ascii="宋体" w:eastAsia="宋体" w:hAnsi="宋体"/>
          <w:sz w:val="28"/>
          <w:szCs w:val="28"/>
        </w:rPr>
        <w:t xml:space="preserve"> </w:t>
      </w:r>
    </w:p>
    <w:p w14:paraId="28B8832A" w14:textId="370B5FD8"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吕国堂（省统计局工业处副处长、主持工作）</w:t>
      </w:r>
    </w:p>
    <w:p w14:paraId="4583F5E0"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郑</w:t>
      </w:r>
      <w:r w:rsidRPr="00812C61">
        <w:rPr>
          <w:rFonts w:ascii="宋体" w:eastAsia="宋体" w:hAnsi="宋体"/>
          <w:sz w:val="28"/>
          <w:szCs w:val="28"/>
        </w:rPr>
        <w:t xml:space="preserve">  </w:t>
      </w:r>
      <w:proofErr w:type="gramStart"/>
      <w:r w:rsidRPr="00812C61">
        <w:rPr>
          <w:rFonts w:ascii="宋体" w:eastAsia="宋体" w:hAnsi="宋体"/>
          <w:sz w:val="28"/>
          <w:szCs w:val="28"/>
        </w:rPr>
        <w:t>汀</w:t>
      </w:r>
      <w:proofErr w:type="gramEnd"/>
      <w:r w:rsidRPr="00812C61">
        <w:rPr>
          <w:rFonts w:ascii="宋体" w:eastAsia="宋体" w:hAnsi="宋体"/>
          <w:sz w:val="28"/>
          <w:szCs w:val="28"/>
        </w:rPr>
        <w:t xml:space="preserve">（省国税局政策法规处副处长、主持工作） </w:t>
      </w:r>
    </w:p>
    <w:p w14:paraId="727C5FD9"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proofErr w:type="gramStart"/>
      <w:r w:rsidRPr="00812C61">
        <w:rPr>
          <w:rFonts w:ascii="宋体" w:eastAsia="宋体" w:hAnsi="宋体" w:hint="eastAsia"/>
          <w:sz w:val="28"/>
          <w:szCs w:val="28"/>
        </w:rPr>
        <w:t>许奇挺</w:t>
      </w:r>
      <w:proofErr w:type="gramEnd"/>
      <w:r w:rsidRPr="00812C61">
        <w:rPr>
          <w:rFonts w:ascii="宋体" w:eastAsia="宋体" w:hAnsi="宋体" w:hint="eastAsia"/>
          <w:sz w:val="28"/>
          <w:szCs w:val="28"/>
        </w:rPr>
        <w:t>（省金融办金融保障处处长）</w:t>
      </w:r>
      <w:r w:rsidRPr="00812C61">
        <w:rPr>
          <w:rFonts w:ascii="宋体" w:eastAsia="宋体" w:hAnsi="宋体"/>
          <w:sz w:val="28"/>
          <w:szCs w:val="28"/>
        </w:rPr>
        <w:t xml:space="preserve">  </w:t>
      </w:r>
    </w:p>
    <w:p w14:paraId="287600FE"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hint="eastAsia"/>
          <w:sz w:val="28"/>
          <w:szCs w:val="28"/>
        </w:rPr>
        <w:t>蒋仲山（人行杭州中心支行金融稳定处处长）</w:t>
      </w:r>
      <w:r w:rsidRPr="00812C61">
        <w:rPr>
          <w:rFonts w:ascii="宋体" w:eastAsia="宋体" w:hAnsi="宋体"/>
          <w:sz w:val="28"/>
          <w:szCs w:val="28"/>
        </w:rPr>
        <w:t xml:space="preserve"> </w:t>
      </w:r>
    </w:p>
    <w:p w14:paraId="5210DF2C" w14:textId="45FB2414"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sz w:val="28"/>
          <w:szCs w:val="28"/>
        </w:rPr>
        <w:t xml:space="preserve">崔安明（浙江银监局国有银行监管一处处长） </w:t>
      </w:r>
    </w:p>
    <w:p w14:paraId="4A68B324" w14:textId="03AC00E3"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sz w:val="28"/>
          <w:szCs w:val="28"/>
        </w:rPr>
        <w:t>傅国云（省检察院专职委员、民行处处长）</w:t>
      </w:r>
    </w:p>
    <w:p w14:paraId="78AAB9D0" w14:textId="48A746FD" w:rsidR="00812C61" w:rsidRPr="00812C61" w:rsidRDefault="00812C61" w:rsidP="00875F6D">
      <w:pPr>
        <w:adjustRightInd w:val="0"/>
        <w:snapToGrid w:val="0"/>
        <w:spacing w:line="360" w:lineRule="auto"/>
        <w:ind w:firstLineChars="200" w:firstLine="560"/>
        <w:rPr>
          <w:rFonts w:ascii="宋体" w:eastAsia="宋体" w:hAnsi="宋体"/>
          <w:sz w:val="28"/>
          <w:szCs w:val="28"/>
        </w:rPr>
      </w:pPr>
    </w:p>
    <w:p w14:paraId="545B3D70" w14:textId="35760941" w:rsidR="00812C61" w:rsidRDefault="00812C61" w:rsidP="00875F6D">
      <w:pPr>
        <w:adjustRightInd w:val="0"/>
        <w:snapToGrid w:val="0"/>
        <w:spacing w:line="360" w:lineRule="auto"/>
        <w:ind w:firstLineChars="200" w:firstLine="560"/>
        <w:rPr>
          <w:rFonts w:ascii="宋体" w:eastAsia="宋体" w:hAnsi="宋体"/>
          <w:sz w:val="28"/>
          <w:szCs w:val="28"/>
        </w:rPr>
      </w:pPr>
    </w:p>
    <w:p w14:paraId="0C4DDC3B" w14:textId="22068034" w:rsidR="00812C61" w:rsidRDefault="00812C61" w:rsidP="00875F6D">
      <w:pPr>
        <w:adjustRightInd w:val="0"/>
        <w:snapToGrid w:val="0"/>
        <w:spacing w:line="360" w:lineRule="auto"/>
        <w:ind w:firstLineChars="200" w:firstLine="560"/>
        <w:rPr>
          <w:rFonts w:ascii="宋体" w:eastAsia="宋体" w:hAnsi="宋体"/>
          <w:sz w:val="28"/>
          <w:szCs w:val="28"/>
        </w:rPr>
      </w:pPr>
    </w:p>
    <w:p w14:paraId="6E710A47" w14:textId="01A43943" w:rsidR="00812C61" w:rsidRDefault="00812C61" w:rsidP="00875F6D">
      <w:pPr>
        <w:adjustRightInd w:val="0"/>
        <w:snapToGrid w:val="0"/>
        <w:spacing w:line="360" w:lineRule="auto"/>
        <w:ind w:firstLineChars="200" w:firstLine="560"/>
        <w:rPr>
          <w:rFonts w:ascii="宋体" w:eastAsia="宋体" w:hAnsi="宋体"/>
          <w:sz w:val="28"/>
          <w:szCs w:val="28"/>
        </w:rPr>
      </w:pPr>
    </w:p>
    <w:p w14:paraId="14356F5F" w14:textId="60FE538C" w:rsidR="00812C61" w:rsidRDefault="00812C61" w:rsidP="00875F6D">
      <w:pPr>
        <w:adjustRightInd w:val="0"/>
        <w:snapToGrid w:val="0"/>
        <w:spacing w:line="360" w:lineRule="auto"/>
        <w:ind w:firstLineChars="200" w:firstLine="560"/>
        <w:rPr>
          <w:rFonts w:ascii="宋体" w:eastAsia="宋体" w:hAnsi="宋体"/>
          <w:sz w:val="28"/>
          <w:szCs w:val="28"/>
        </w:rPr>
      </w:pPr>
    </w:p>
    <w:p w14:paraId="17D80481" w14:textId="77777777" w:rsidR="00812C61" w:rsidRPr="00812C61" w:rsidRDefault="00812C61" w:rsidP="00875F6D">
      <w:pPr>
        <w:adjustRightInd w:val="0"/>
        <w:snapToGrid w:val="0"/>
        <w:spacing w:line="360" w:lineRule="auto"/>
        <w:ind w:firstLineChars="200" w:firstLine="560"/>
        <w:rPr>
          <w:rFonts w:ascii="宋体" w:eastAsia="宋体" w:hAnsi="宋体" w:hint="eastAsia"/>
          <w:sz w:val="28"/>
          <w:szCs w:val="28"/>
        </w:rPr>
      </w:pPr>
    </w:p>
    <w:p w14:paraId="5A8BFC17" w14:textId="77777777" w:rsidR="00812C61" w:rsidRPr="00812C61" w:rsidRDefault="00812C61" w:rsidP="00875F6D">
      <w:pPr>
        <w:adjustRightInd w:val="0"/>
        <w:snapToGrid w:val="0"/>
        <w:spacing w:line="360" w:lineRule="auto"/>
        <w:ind w:firstLineChars="200" w:firstLine="560"/>
        <w:rPr>
          <w:rFonts w:ascii="宋体" w:eastAsia="宋体" w:hAnsi="宋体"/>
          <w:sz w:val="28"/>
          <w:szCs w:val="28"/>
        </w:rPr>
      </w:pPr>
      <w:r w:rsidRPr="00812C61">
        <w:rPr>
          <w:rFonts w:ascii="宋体" w:eastAsia="宋体" w:hAnsi="宋体"/>
          <w:sz w:val="28"/>
          <w:szCs w:val="28"/>
        </w:rPr>
        <w:t xml:space="preserve">抄送：省委办公厅,省政府办公厅,各市人民政府，各市经信委。 </w:t>
      </w:r>
    </w:p>
    <w:p w14:paraId="7651E390" w14:textId="4752E229" w:rsidR="00812C61" w:rsidRPr="00812C61" w:rsidRDefault="00812C61" w:rsidP="00875F6D">
      <w:pPr>
        <w:adjustRightInd w:val="0"/>
        <w:snapToGrid w:val="0"/>
        <w:spacing w:line="360" w:lineRule="auto"/>
        <w:ind w:firstLineChars="200" w:firstLine="560"/>
        <w:rPr>
          <w:rFonts w:ascii="宋体" w:eastAsia="宋体" w:hAnsi="宋体" w:hint="eastAsia"/>
          <w:sz w:val="28"/>
          <w:szCs w:val="28"/>
        </w:rPr>
      </w:pPr>
      <w:r w:rsidRPr="00812C61">
        <w:rPr>
          <w:rFonts w:ascii="宋体" w:eastAsia="宋体" w:hAnsi="宋体"/>
          <w:sz w:val="28"/>
          <w:szCs w:val="28"/>
        </w:rPr>
        <w:t xml:space="preserve"> 浙江省经济和信息化委员会办公室 2016年11月 4日印发</w:t>
      </w:r>
    </w:p>
    <w:sectPr w:rsidR="00812C61" w:rsidRPr="00812C6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BCA"/>
    <w:rsid w:val="00812C61"/>
    <w:rsid w:val="00875F6D"/>
    <w:rsid w:val="00C36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B205D"/>
  <w15:chartTrackingRefBased/>
  <w15:docId w15:val="{BB6407FB-1653-4A07-935A-7F0F625B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12C61"/>
    <w:pPr>
      <w:ind w:leftChars="2500" w:left="100"/>
    </w:pPr>
  </w:style>
  <w:style w:type="character" w:customStyle="1" w:styleId="a4">
    <w:name w:val="日期 字符"/>
    <w:basedOn w:val="a0"/>
    <w:link w:val="a3"/>
    <w:uiPriority w:val="99"/>
    <w:semiHidden/>
    <w:rsid w:val="00812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490</Words>
  <Characters>2793</Characters>
  <Application>Microsoft Office Word</Application>
  <DocSecurity>0</DocSecurity>
  <Lines>23</Lines>
  <Paragraphs>6</Paragraphs>
  <ScaleCrop>false</ScaleCrop>
  <Company/>
  <LinksUpToDate>false</LinksUpToDate>
  <CharactersWithSpaces>3277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2020-07-08T03:49:00Z</dcterms:created>
  <dcterms:modified xsi:type="dcterms:W3CDTF">2020-07-08T04:03:00Z</dcterms:modified>
</cp:coreProperties>
</file>