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888" w:rsidRPr="003A4888" w:rsidRDefault="003A4888" w:rsidP="003A4888">
      <w:pPr>
        <w:widowControl/>
        <w:spacing w:after="210" w:line="520" w:lineRule="exact"/>
        <w:contextualSpacing/>
        <w:jc w:val="center"/>
        <w:outlineLvl w:val="1"/>
        <w:rPr>
          <w:rFonts w:ascii="方正小标宋_GBK" w:eastAsia="方正小标宋_GBK" w:hAnsi="方正小标宋_GBK" w:cs="方正小标宋_GBK"/>
          <w:color w:val="000000"/>
          <w:w w:val="97"/>
          <w:sz w:val="42"/>
          <w:szCs w:val="42"/>
        </w:rPr>
      </w:pPr>
      <w:bookmarkStart w:id="0" w:name="_GoBack"/>
      <w:r w:rsidRPr="003A4888">
        <w:rPr>
          <w:rFonts w:ascii="方正小标宋_GBK" w:eastAsia="方正小标宋_GBK" w:hAnsi="方正小标宋_GBK" w:cs="方正小标宋_GBK"/>
          <w:color w:val="000000"/>
          <w:w w:val="97"/>
          <w:sz w:val="42"/>
          <w:szCs w:val="42"/>
        </w:rPr>
        <w:t>浙江省高级人民法院关于统一破产债权确认纠纷案件受理费标准相关事宜的通知</w:t>
      </w:r>
      <w:bookmarkEnd w:id="0"/>
    </w:p>
    <w:p w:rsidR="003A4888" w:rsidRPr="003A4888" w:rsidRDefault="003A4888" w:rsidP="003A4888">
      <w:pPr>
        <w:widowControl/>
        <w:rPr>
          <w:rFonts w:ascii="Helvetica Neue" w:eastAsia="宋体" w:hAnsi="Helvetica Neue" w:cs="宋体"/>
          <w:color w:val="708B88"/>
          <w:spacing w:val="8"/>
          <w:kern w:val="0"/>
          <w:sz w:val="23"/>
          <w:szCs w:val="23"/>
        </w:rPr>
      </w:pPr>
    </w:p>
    <w:p w:rsidR="003A4888" w:rsidRDefault="003A4888" w:rsidP="003A4888">
      <w:pPr>
        <w:widowControl/>
        <w:rPr>
          <w:rFonts w:ascii="Helvetica Neue" w:eastAsia="宋体" w:hAnsi="Helvetica Neue" w:cs="宋体"/>
          <w:color w:val="708B88"/>
          <w:spacing w:val="8"/>
          <w:kern w:val="0"/>
          <w:sz w:val="23"/>
          <w:szCs w:val="23"/>
        </w:rPr>
      </w:pPr>
    </w:p>
    <w:p w:rsidR="003A4888" w:rsidRPr="003A4888" w:rsidRDefault="003A4888" w:rsidP="003A4888">
      <w:pPr>
        <w:widowControl/>
        <w:rPr>
          <w:rFonts w:ascii="宋体" w:eastAsia="宋体" w:hAnsi="宋体" w:cs="Times New Roman"/>
          <w:color w:val="000000"/>
          <w:sz w:val="24"/>
          <w:szCs w:val="20"/>
        </w:rPr>
      </w:pPr>
      <w:r w:rsidRPr="003A4888">
        <w:rPr>
          <w:rFonts w:ascii="宋体" w:eastAsia="宋体" w:hAnsi="宋体" w:cs="Times New Roman"/>
          <w:color w:val="000000"/>
          <w:sz w:val="24"/>
          <w:szCs w:val="20"/>
        </w:rPr>
        <w:t>本省各级人民法院：</w:t>
      </w:r>
    </w:p>
    <w:p w:rsidR="003A4888" w:rsidRPr="003A4888" w:rsidRDefault="003A4888" w:rsidP="003A4888">
      <w:pPr>
        <w:widowControl/>
        <w:ind w:firstLineChars="200" w:firstLine="480"/>
        <w:jc w:val="left"/>
        <w:rPr>
          <w:rFonts w:ascii="宋体" w:eastAsia="宋体" w:hAnsi="宋体" w:cs="Times New Roman"/>
          <w:color w:val="000000"/>
          <w:sz w:val="24"/>
          <w:szCs w:val="20"/>
        </w:rPr>
      </w:pPr>
      <w:r w:rsidRPr="003A4888">
        <w:rPr>
          <w:rFonts w:ascii="宋体" w:eastAsia="宋体" w:hAnsi="宋体" w:cs="Times New Roman"/>
          <w:color w:val="000000"/>
          <w:sz w:val="24"/>
          <w:szCs w:val="20"/>
        </w:rPr>
        <w:t>破产程序中破产债权确认纠纷案件如何交纳案件受理费，按照财产案件的标准还是按照非财产案件按件交纳，审判实践中争议较大。为统一标准，现通知如下：</w:t>
      </w:r>
    </w:p>
    <w:p w:rsidR="003A4888" w:rsidRDefault="003A4888" w:rsidP="003A4888">
      <w:pPr>
        <w:widowControl/>
        <w:ind w:firstLine="480"/>
        <w:rPr>
          <w:rFonts w:ascii="宋体" w:eastAsia="宋体" w:hAnsi="宋体" w:cs="Times New Roman"/>
          <w:color w:val="000000"/>
          <w:sz w:val="24"/>
          <w:szCs w:val="20"/>
        </w:rPr>
      </w:pPr>
      <w:r>
        <w:rPr>
          <w:rFonts w:ascii="宋体" w:eastAsia="宋体" w:hAnsi="宋体" w:cs="Times New Roman"/>
          <w:color w:val="000000"/>
          <w:sz w:val="24"/>
          <w:szCs w:val="20"/>
        </w:rPr>
        <w:t xml:space="preserve">1. </w:t>
      </w:r>
      <w:r w:rsidRPr="003A4888">
        <w:rPr>
          <w:rFonts w:ascii="宋体" w:eastAsia="宋体" w:hAnsi="宋体" w:cs="Times New Roman"/>
          <w:color w:val="000000"/>
          <w:sz w:val="24"/>
          <w:szCs w:val="20"/>
        </w:rPr>
        <w:t>破产程序中破产债权确认纠纷案件，应当依照最高人民法院《关于适用&lt;中华人民共和国民事诉讼法&gt;的解释》第二百条规定，按照财产案件标准交纳</w:t>
      </w:r>
      <w:r>
        <w:rPr>
          <w:rFonts w:ascii="宋体" w:eastAsia="宋体" w:hAnsi="宋体" w:cs="Times New Roman" w:hint="eastAsia"/>
          <w:color w:val="000000"/>
          <w:sz w:val="24"/>
          <w:szCs w:val="20"/>
        </w:rPr>
        <w:t>诉讼</w:t>
      </w:r>
      <w:r w:rsidRPr="003A4888">
        <w:rPr>
          <w:rFonts w:ascii="宋体" w:eastAsia="宋体" w:hAnsi="宋体" w:cs="Times New Roman"/>
          <w:color w:val="000000"/>
          <w:sz w:val="24"/>
          <w:szCs w:val="20"/>
        </w:rPr>
        <w:t>费。劳动争议案件除外。</w:t>
      </w:r>
    </w:p>
    <w:p w:rsidR="003A4888" w:rsidRDefault="003A4888" w:rsidP="003A4888">
      <w:pPr>
        <w:widowControl/>
        <w:ind w:firstLine="480"/>
        <w:rPr>
          <w:rFonts w:ascii="宋体" w:eastAsia="宋体" w:hAnsi="宋体" w:cs="Times New Roman"/>
          <w:color w:val="000000"/>
          <w:sz w:val="24"/>
          <w:szCs w:val="20"/>
        </w:rPr>
      </w:pPr>
      <w:r>
        <w:rPr>
          <w:rFonts w:ascii="宋体" w:eastAsia="宋体" w:hAnsi="宋体" w:cs="Times New Roman" w:hint="eastAsia"/>
          <w:color w:val="000000"/>
          <w:sz w:val="24"/>
          <w:szCs w:val="20"/>
        </w:rPr>
        <w:t>2</w:t>
      </w:r>
      <w:r>
        <w:rPr>
          <w:rFonts w:ascii="宋体" w:eastAsia="宋体" w:hAnsi="宋体" w:cs="Times New Roman"/>
          <w:color w:val="000000"/>
          <w:sz w:val="24"/>
          <w:szCs w:val="20"/>
        </w:rPr>
        <w:t xml:space="preserve">. </w:t>
      </w:r>
      <w:r w:rsidRPr="003A4888">
        <w:rPr>
          <w:rFonts w:ascii="宋体" w:eastAsia="宋体" w:hAnsi="宋体" w:cs="Times New Roman"/>
          <w:color w:val="000000"/>
          <w:sz w:val="24"/>
          <w:szCs w:val="20"/>
        </w:rPr>
        <w:t>管理人应当勤勉尽责审查债权，对申报的债权进行审查后提出审查意见，破产债权确认纠纷案件可以按照有争议部分（金额或者性质）的债权金额计算诉讼费。</w:t>
      </w:r>
    </w:p>
    <w:p w:rsidR="003A4888" w:rsidRDefault="003A4888" w:rsidP="003A4888">
      <w:pPr>
        <w:widowControl/>
        <w:ind w:firstLine="480"/>
        <w:rPr>
          <w:rFonts w:ascii="宋体" w:eastAsia="宋体" w:hAnsi="宋体" w:cs="Times New Roman"/>
          <w:color w:val="000000"/>
          <w:sz w:val="24"/>
          <w:szCs w:val="20"/>
        </w:rPr>
      </w:pPr>
      <w:r>
        <w:rPr>
          <w:rFonts w:ascii="宋体" w:eastAsia="宋体" w:hAnsi="宋体" w:cs="Times New Roman"/>
          <w:color w:val="000000"/>
          <w:sz w:val="24"/>
          <w:szCs w:val="20"/>
        </w:rPr>
        <w:t xml:space="preserve">3. </w:t>
      </w:r>
      <w:r w:rsidRPr="003A4888">
        <w:rPr>
          <w:rFonts w:ascii="宋体" w:eastAsia="宋体" w:hAnsi="宋体" w:cs="Times New Roman"/>
          <w:color w:val="000000"/>
          <w:sz w:val="24"/>
          <w:szCs w:val="20"/>
        </w:rPr>
        <w:t>管理人债权审查的结论以及破产债权确认纠纷案件的诉讼结果应当作为确定管理人履职能力和执业水平的重要因素，并在确定或者调整管理人报酬时加以考虑。</w:t>
      </w:r>
    </w:p>
    <w:p w:rsidR="003A4888" w:rsidRDefault="003A4888" w:rsidP="003A4888">
      <w:pPr>
        <w:widowControl/>
        <w:ind w:firstLine="480"/>
        <w:rPr>
          <w:rFonts w:ascii="宋体" w:eastAsia="宋体" w:hAnsi="宋体" w:cs="Times New Roman"/>
          <w:color w:val="000000"/>
          <w:sz w:val="24"/>
          <w:szCs w:val="20"/>
        </w:rPr>
      </w:pPr>
      <w:r>
        <w:rPr>
          <w:rFonts w:ascii="宋体" w:eastAsia="宋体" w:hAnsi="宋体" w:cs="Times New Roman"/>
          <w:color w:val="000000"/>
          <w:sz w:val="24"/>
          <w:szCs w:val="20"/>
        </w:rPr>
        <w:t xml:space="preserve">4. </w:t>
      </w:r>
      <w:r w:rsidRPr="003A4888">
        <w:rPr>
          <w:rFonts w:ascii="宋体" w:eastAsia="宋体" w:hAnsi="宋体" w:cs="Times New Roman"/>
          <w:color w:val="000000"/>
          <w:sz w:val="24"/>
          <w:szCs w:val="20"/>
        </w:rPr>
        <w:t>破产债权确认纠纷案件审理完毕后，确定由债务人企业承担的诉讼费用，结合破产案件审理的具体情况，可以参照《全国法院破产审判工作会议纪要》明确的“人身损害赔偿债权优先于财产性债权、私法债权优先于公法债权、补偿性债权优先于惩罚性债权”的原则，在破产财产分配方案中合理确定其清偿顺序。</w:t>
      </w:r>
    </w:p>
    <w:p w:rsidR="003A4888" w:rsidRDefault="003A4888" w:rsidP="003A4888">
      <w:pPr>
        <w:widowControl/>
        <w:ind w:firstLine="480"/>
        <w:rPr>
          <w:rFonts w:ascii="宋体" w:eastAsia="宋体" w:hAnsi="宋体" w:cs="Times New Roman"/>
          <w:color w:val="000000"/>
          <w:sz w:val="24"/>
          <w:szCs w:val="20"/>
        </w:rPr>
      </w:pPr>
      <w:r w:rsidRPr="003A4888">
        <w:rPr>
          <w:rFonts w:ascii="宋体" w:eastAsia="宋体" w:hAnsi="宋体" w:cs="Times New Roman"/>
          <w:color w:val="000000"/>
          <w:sz w:val="24"/>
          <w:szCs w:val="20"/>
        </w:rPr>
        <w:t>本通知执行中的问题，请层报省高院立案庭、民五庭。最高人民法院有新的规定的，按照新规定执行。</w:t>
      </w:r>
    </w:p>
    <w:p w:rsidR="003A4888" w:rsidRDefault="003A4888" w:rsidP="003A4888">
      <w:pPr>
        <w:widowControl/>
        <w:ind w:firstLine="480"/>
        <w:rPr>
          <w:rFonts w:ascii="宋体" w:eastAsia="宋体" w:hAnsi="宋体" w:cs="Times New Roman"/>
          <w:color w:val="000000"/>
          <w:sz w:val="24"/>
          <w:szCs w:val="20"/>
        </w:rPr>
      </w:pPr>
    </w:p>
    <w:p w:rsidR="003A4888" w:rsidRPr="003A4888" w:rsidRDefault="003A4888" w:rsidP="003A4888">
      <w:pPr>
        <w:widowControl/>
        <w:ind w:firstLine="480"/>
        <w:rPr>
          <w:rFonts w:ascii="宋体" w:eastAsia="宋体" w:hAnsi="宋体" w:cs="Times New Roman" w:hint="eastAsia"/>
          <w:color w:val="000000"/>
          <w:sz w:val="24"/>
          <w:szCs w:val="20"/>
        </w:rPr>
      </w:pPr>
    </w:p>
    <w:p w:rsidR="003A4888" w:rsidRPr="003A4888" w:rsidRDefault="003A4888" w:rsidP="003A4888">
      <w:pPr>
        <w:widowControl/>
        <w:jc w:val="right"/>
        <w:rPr>
          <w:rFonts w:ascii="宋体" w:eastAsia="宋体" w:hAnsi="宋体" w:cs="Times New Roman"/>
          <w:color w:val="000000"/>
          <w:sz w:val="24"/>
          <w:szCs w:val="20"/>
        </w:rPr>
      </w:pPr>
    </w:p>
    <w:p w:rsidR="003A4888" w:rsidRPr="003A4888" w:rsidRDefault="003A4888" w:rsidP="003A4888">
      <w:pPr>
        <w:widowControl/>
        <w:jc w:val="right"/>
        <w:rPr>
          <w:rFonts w:ascii="宋体" w:eastAsia="宋体" w:hAnsi="宋体" w:cs="Times New Roman"/>
          <w:color w:val="000000"/>
          <w:sz w:val="24"/>
          <w:szCs w:val="20"/>
        </w:rPr>
      </w:pPr>
      <w:r w:rsidRPr="003A4888">
        <w:rPr>
          <w:rFonts w:ascii="宋体" w:eastAsia="宋体" w:hAnsi="宋体" w:cs="Times New Roman"/>
          <w:color w:val="000000"/>
          <w:sz w:val="24"/>
          <w:szCs w:val="20"/>
        </w:rPr>
        <w:t>浙江省高级人民法院</w:t>
      </w:r>
    </w:p>
    <w:p w:rsidR="003A4888" w:rsidRPr="003A4888" w:rsidRDefault="003A4888" w:rsidP="003A4888">
      <w:pPr>
        <w:widowControl/>
        <w:jc w:val="right"/>
        <w:rPr>
          <w:rFonts w:ascii="宋体" w:eastAsia="宋体" w:hAnsi="宋体" w:cs="Times New Roman"/>
          <w:color w:val="000000"/>
          <w:sz w:val="24"/>
          <w:szCs w:val="20"/>
        </w:rPr>
      </w:pPr>
      <w:r w:rsidRPr="003A4888">
        <w:rPr>
          <w:rFonts w:ascii="宋体" w:eastAsia="宋体" w:hAnsi="宋体" w:cs="Times New Roman"/>
          <w:color w:val="000000"/>
          <w:sz w:val="24"/>
          <w:szCs w:val="20"/>
        </w:rPr>
        <w:t>2020年5月29日</w:t>
      </w:r>
    </w:p>
    <w:p w:rsidR="00192672" w:rsidRPr="003A4888" w:rsidRDefault="003A4888"/>
    <w:sectPr w:rsidR="00192672" w:rsidRPr="003A4888"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88"/>
    <w:rsid w:val="001006E4"/>
    <w:rsid w:val="001C115D"/>
    <w:rsid w:val="002A0F9B"/>
    <w:rsid w:val="003A4888"/>
    <w:rsid w:val="0043101A"/>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3A45"/>
  <w15:chartTrackingRefBased/>
  <w15:docId w15:val="{8EC1C6D0-4DDA-AB4D-9ED1-5AF75437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A488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888"/>
    <w:pPr>
      <w:widowControl/>
      <w:spacing w:before="100" w:beforeAutospacing="1" w:after="100" w:afterAutospacing="1"/>
      <w:jc w:val="left"/>
    </w:pPr>
    <w:rPr>
      <w:rFonts w:ascii="宋体" w:eastAsia="宋体" w:hAnsi="宋体" w:cs="宋体"/>
      <w:kern w:val="0"/>
      <w:sz w:val="24"/>
    </w:rPr>
  </w:style>
  <w:style w:type="character" w:customStyle="1" w:styleId="20">
    <w:name w:val="标题 2 字符"/>
    <w:basedOn w:val="a0"/>
    <w:link w:val="2"/>
    <w:uiPriority w:val="9"/>
    <w:rsid w:val="003A4888"/>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5726">
      <w:bodyDiv w:val="1"/>
      <w:marLeft w:val="0"/>
      <w:marRight w:val="0"/>
      <w:marTop w:val="0"/>
      <w:marBottom w:val="0"/>
      <w:divBdr>
        <w:top w:val="none" w:sz="0" w:space="0" w:color="auto"/>
        <w:left w:val="none" w:sz="0" w:space="0" w:color="auto"/>
        <w:bottom w:val="none" w:sz="0" w:space="0" w:color="auto"/>
        <w:right w:val="none" w:sz="0" w:space="0" w:color="auto"/>
      </w:divBdr>
    </w:div>
    <w:div w:id="6735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2020-07-08T03:16:00Z</dcterms:created>
  <dcterms:modified xsi:type="dcterms:W3CDTF">2020-07-08T03:19:00Z</dcterms:modified>
</cp:coreProperties>
</file>