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关于破产企业国有划拨土地使用权应否列入破产财产等问题的批复（2020修正）</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法释〔2020〕18号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2020年12月29日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2021年01月01日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2002年10月11日最高人民法院审判委员会第1245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湖北省高级人民法院：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你院鄂高法〔2002〕158号《关于破产企业国有划拨土地使用权应否列入破产财产以及有关抵押效力认定等问题的请示》收悉。经研究，答复如下：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企业对其以划拨方式取得的国有土地使用权无处分权，以该土地使用权设定抵押，未经有审批权限的人民政府或土地行政管理部门批准的，不影响抵押合同效力；履行了法定的审批手续，并依法办理抵押登记的，抵押权自登记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三、</w:t>
      </w:r>
      <w:r w:rsidRPr="00A75184">
        <w:rPr>
          <w:rStyle w:val="sect2title1"/>
          <w:rFonts w:ascii="DengXian" w:eastAsia="DengXian" w:hAnsi="DengXian" w:hint="default"/>
          <w:b w:val="0"/>
        </w:rPr>
        <w:t xml:space="preserve">　</w:t>
      </w:r>
      <w:r w:rsidRPr="00A75184">
        <w:rPr>
          <w:rFonts w:ascii="SimSun" w:eastAsia="SimSun" w:hAnsi="SimSun" w:hint="default"/>
        </w:rPr>
        <w:t>国有企业以关键设备、成套设备、建筑物设定抵押的，如无其他法定的无效情形，不应当仅以未经政府主管部门批准为由认定抵押合同无效。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本批复自公布之日起施行，正在审理或者尚未审理的案件，适用本批复，但对提起再审的判决、裁定已经发生法律效力的案件除外。</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此复。</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关于破产企业国有划拨土地使用权应否列入破产财产等问题的批复（2020修正）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ed0a30f922593db93ad77feb6eb011b6"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