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FAD" w:rsidRDefault="00157FAD" w:rsidP="00157FAD">
      <w:pPr>
        <w:autoSpaceDN w:val="0"/>
        <w:adjustRightInd w:val="0"/>
        <w:snapToGrid w:val="0"/>
        <w:ind w:leftChars="400" w:left="840" w:rightChars="400" w:right="840"/>
        <w:jc w:val="center"/>
        <w:outlineLvl w:val="0"/>
        <w:rPr>
          <w:rFonts w:ascii="方正小标宋_GBK" w:eastAsia="方正小标宋_GBK" w:hAnsi="方正小标宋_GBK" w:cs="方正小标宋_GBK" w:hint="eastAsia"/>
          <w:color w:val="000000"/>
          <w:w w:val="97"/>
          <w:sz w:val="42"/>
          <w:szCs w:val="42"/>
        </w:rPr>
      </w:pPr>
      <w:bookmarkStart w:id="0" w:name="_Toc28910"/>
      <w:bookmarkStart w:id="1" w:name="_Toc22860"/>
      <w:bookmarkStart w:id="2" w:name="_GoBack"/>
      <w:r>
        <w:rPr>
          <w:rFonts w:ascii="方正小标宋_GBK" w:eastAsia="方正小标宋_GBK" w:hAnsi="方正小标宋_GBK" w:cs="方正小标宋_GBK" w:hint="eastAsia"/>
          <w:color w:val="000000"/>
          <w:w w:val="97"/>
          <w:sz w:val="42"/>
          <w:szCs w:val="42"/>
        </w:rPr>
        <w:t>最高人民法院关于审理企业破产案件</w:t>
      </w:r>
      <w:bookmarkStart w:id="3" w:name="_Toc7918"/>
      <w:bookmarkEnd w:id="0"/>
      <w:r>
        <w:rPr>
          <w:rFonts w:ascii="方正小标宋_GBK" w:eastAsia="方正小标宋_GBK" w:hAnsi="方正小标宋_GBK" w:cs="方正小标宋_GBK" w:hint="eastAsia"/>
          <w:color w:val="000000"/>
          <w:w w:val="97"/>
          <w:sz w:val="42"/>
          <w:szCs w:val="42"/>
        </w:rPr>
        <w:t>确定管理人报酬的规定</w:t>
      </w:r>
      <w:bookmarkEnd w:id="1"/>
      <w:bookmarkEnd w:id="3"/>
    </w:p>
    <w:bookmarkEnd w:id="2"/>
    <w:p w:rsidR="00157FAD" w:rsidRDefault="00157FAD" w:rsidP="00157FAD">
      <w:pPr>
        <w:autoSpaceDN w:val="0"/>
        <w:adjustRightInd w:val="0"/>
        <w:snapToGrid w:val="0"/>
        <w:spacing w:beforeLines="100" w:before="312" w:afterLines="50" w:after="156" w:line="324" w:lineRule="auto"/>
        <w:jc w:val="center"/>
        <w:rPr>
          <w:rFonts w:ascii="楷体_GB2312" w:eastAsia="楷体_GB2312" w:hAnsi="宋体" w:hint="eastAsia"/>
          <w:color w:val="000000"/>
          <w:sz w:val="32"/>
        </w:rPr>
      </w:pPr>
      <w:r>
        <w:rPr>
          <w:rFonts w:ascii="楷体_GB2312" w:eastAsia="楷体_GB2312" w:hAnsi="宋体" w:hint="eastAsia"/>
          <w:color w:val="000000"/>
          <w:sz w:val="30"/>
        </w:rPr>
        <w:t>法释〔2007〕9号</w:t>
      </w:r>
    </w:p>
    <w:p w:rsidR="00157FAD" w:rsidRDefault="00157FAD" w:rsidP="00157FAD">
      <w:pPr>
        <w:autoSpaceDN w:val="0"/>
        <w:adjustRightInd w:val="0"/>
        <w:snapToGrid w:val="0"/>
        <w:spacing w:line="324" w:lineRule="auto"/>
        <w:ind w:firstLineChars="200" w:firstLine="480"/>
        <w:rPr>
          <w:rFonts w:ascii="宋体" w:hAnsi="宋体" w:hint="eastAsia"/>
          <w:color w:val="000000"/>
          <w:sz w:val="24"/>
        </w:rPr>
      </w:pP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为公正、高效审理企业破产案件，规范人民法院确定管理人报酬工作，根据《中华人民共和国企业破产法》的规定，制定本规定。</w:t>
      </w:r>
    </w:p>
    <w:p w:rsidR="00157FAD" w:rsidRDefault="00157FAD" w:rsidP="00157FAD">
      <w:pPr>
        <w:autoSpaceDN w:val="0"/>
        <w:adjustRightInd w:val="0"/>
        <w:snapToGrid w:val="0"/>
        <w:spacing w:line="336" w:lineRule="auto"/>
        <w:ind w:firstLineChars="200" w:firstLine="480"/>
        <w:rPr>
          <w:rFonts w:ascii="宋体" w:hAnsi="宋体" w:hint="eastAsia"/>
          <w:color w:val="000000"/>
          <w:spacing w:val="-5"/>
          <w:sz w:val="24"/>
        </w:rPr>
      </w:pPr>
      <w:r>
        <w:rPr>
          <w:rFonts w:ascii="宋体" w:eastAsia="黑体" w:hAnsi="宋体" w:hint="eastAsia"/>
          <w:color w:val="000000"/>
          <w:sz w:val="24"/>
        </w:rPr>
        <w:t>第一条</w:t>
      </w:r>
      <w:r>
        <w:rPr>
          <w:rFonts w:ascii="宋体" w:hAnsi="宋体" w:hint="eastAsia"/>
          <w:color w:val="000000"/>
          <w:sz w:val="24"/>
        </w:rPr>
        <w:t xml:space="preserve">　</w:t>
      </w:r>
      <w:r>
        <w:rPr>
          <w:rFonts w:ascii="宋体" w:hAnsi="宋体" w:hint="eastAsia"/>
          <w:color w:val="000000"/>
          <w:spacing w:val="-5"/>
          <w:sz w:val="24"/>
        </w:rPr>
        <w:t>管理人履行企业破产法第二十五条规定的职责，有权获得相应报酬。</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管理人报酬由审理企业破产案件的人民法院依据本规定确定。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第二条</w:t>
      </w:r>
      <w:r>
        <w:rPr>
          <w:rFonts w:ascii="宋体" w:hAnsi="宋体" w:hint="eastAsia"/>
          <w:color w:val="000000"/>
          <w:sz w:val="24"/>
        </w:rPr>
        <w:t xml:space="preserve">　人民法院应根据债务人最终清偿的财产价值总额，在以下比例限制范围内分段确定管理人报酬：</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（一）不超过一百万元（含本数，下同）的，在12%以下确定；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（二）超过一百万元至五百万元的部分，在10%以下确定；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（三）超过五百万元至一千万元的部分，在8%以下确定；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（四）超过一千万元至五千万元的部分，在6%以下确定：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（五）超过五千万元至一亿元的部分，在3%以下确定；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（六）超过一亿元至五亿元的部分，在1%以下确定；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（七）超过五亿元的部分，在0.5%以下确定。</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担保权人优先受偿的担保物价值，不计入前款规定的财产价值总额。</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高级人民法院认为有必要的，可以参照上述比例在30%的浮动范围内制定符合当地实际情况的管理人报酬比例限制范围，并通过当地有影响的媒体公告，同时报最高人民法院备案。</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第三条</w:t>
      </w:r>
      <w:r>
        <w:rPr>
          <w:rFonts w:ascii="宋体" w:hAnsi="宋体" w:hint="eastAsia"/>
          <w:color w:val="000000"/>
          <w:sz w:val="24"/>
        </w:rPr>
        <w:t xml:space="preserve">　人民法院可以根据破产案件的实际情况，确定管理人分期或者最后一次性收取报酬。</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第四条</w:t>
      </w:r>
      <w:r>
        <w:rPr>
          <w:rFonts w:ascii="宋体" w:hAnsi="宋体" w:hint="eastAsia"/>
          <w:color w:val="000000"/>
          <w:sz w:val="24"/>
        </w:rPr>
        <w:t xml:space="preserve">　人民法院受理企业破产申请后，应当对债务人可供清偿的财产价值和管理人的工作量作出预测，初步确定管理人报酬方案。管理人报酬方案应当包括管理人报酬比例和收取时间。</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第五条</w:t>
      </w:r>
      <w:r>
        <w:rPr>
          <w:rFonts w:ascii="宋体" w:hAnsi="宋体" w:hint="eastAsia"/>
          <w:color w:val="000000"/>
          <w:sz w:val="24"/>
        </w:rPr>
        <w:t xml:space="preserve">　</w:t>
      </w:r>
      <w:r>
        <w:rPr>
          <w:rFonts w:ascii="宋体" w:hAnsi="宋体" w:hint="eastAsia"/>
          <w:color w:val="000000"/>
          <w:spacing w:val="-5"/>
          <w:sz w:val="24"/>
        </w:rPr>
        <w:t>人民法院采取公开竞争方式指定管理人的，可以根据社会中介机构提出的报价确定管理人报酬方案，但报酬比例不得超出本规定第二条规定的限制范围</w:t>
      </w:r>
      <w:r>
        <w:rPr>
          <w:rFonts w:ascii="宋体" w:hAnsi="宋体" w:hint="eastAsia"/>
          <w:color w:val="000000"/>
          <w:sz w:val="24"/>
        </w:rPr>
        <w:t>。</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上述报酬方案一般不予调整，但债权人会议异议成立的除外。</w:t>
      </w:r>
    </w:p>
    <w:p w:rsidR="00157FAD" w:rsidRDefault="00157FAD" w:rsidP="00157FAD">
      <w:pPr>
        <w:autoSpaceDN w:val="0"/>
        <w:adjustRightInd w:val="0"/>
        <w:snapToGrid w:val="0"/>
        <w:spacing w:line="336" w:lineRule="auto"/>
        <w:ind w:rightChars="-41" w:right="-86" w:firstLineChars="200" w:firstLine="480"/>
        <w:rPr>
          <w:rFonts w:ascii="宋体" w:hAnsi="宋体" w:hint="eastAsia"/>
          <w:color w:val="000000"/>
          <w:spacing w:val="-5"/>
          <w:sz w:val="24"/>
        </w:rPr>
      </w:pPr>
      <w:r>
        <w:rPr>
          <w:rFonts w:ascii="宋体" w:eastAsia="黑体" w:hAnsi="宋体" w:hint="eastAsia"/>
          <w:color w:val="000000"/>
          <w:sz w:val="24"/>
        </w:rPr>
        <w:lastRenderedPageBreak/>
        <w:t>第六条</w:t>
      </w:r>
      <w:r>
        <w:rPr>
          <w:rFonts w:ascii="宋体" w:hAnsi="宋体" w:hint="eastAsia"/>
          <w:color w:val="000000"/>
          <w:sz w:val="24"/>
        </w:rPr>
        <w:t xml:space="preserve">　</w:t>
      </w:r>
      <w:r>
        <w:rPr>
          <w:rFonts w:ascii="宋体" w:hAnsi="宋体" w:hint="eastAsia"/>
          <w:color w:val="000000"/>
          <w:spacing w:val="-5"/>
          <w:sz w:val="24"/>
        </w:rPr>
        <w:t>人民法院应当自确定管理人报酬方案之日起三日内，书面通知管理人。</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管理人应当在第一次债权人会议上报告管理人报酬方案内容。</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第七条</w:t>
      </w:r>
      <w:r>
        <w:rPr>
          <w:rFonts w:ascii="宋体" w:hAnsi="宋体" w:hint="eastAsia"/>
          <w:color w:val="000000"/>
          <w:sz w:val="24"/>
        </w:rPr>
        <w:t xml:space="preserve">　管理人、债权人会议对管理人报酬方案有意见的，可以进行协商。双方就调整管理人报酬方案内容协商一致的，管理人应向人民法院书面提出具体的请求和理由，并附相应的债权人会议决议。</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人民法院经审查认为上述请求和理由不违反法律和行政法规强制性规定，且不损害他人合法权益的，应当按照双方协商的结果调整管理人报酬方案。</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第八条</w:t>
      </w:r>
      <w:r>
        <w:rPr>
          <w:rFonts w:ascii="宋体" w:hAnsi="宋体" w:hint="eastAsia"/>
          <w:color w:val="000000"/>
          <w:sz w:val="24"/>
        </w:rPr>
        <w:t xml:space="preserve">　人民法院确定管理人报酬方案后，可以根据破产案件和管理人履行职责的实际情况进行调整。</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人民法院应当自调整管理人报酬方案之日起三日内，书面通知管理人。管理人应当自收到上述通知之日起三日内，向债权人委员会或者债权人会议主席报告管理人报酬方案调整内容。</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第九条</w:t>
      </w:r>
      <w:r>
        <w:rPr>
          <w:rFonts w:ascii="宋体" w:hAnsi="宋体" w:hint="eastAsia"/>
          <w:color w:val="000000"/>
          <w:sz w:val="24"/>
        </w:rPr>
        <w:t xml:space="preserve">　人民法院确定或者调整管理人报酬方案时，应当考虑以下因素：</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（一）破产案件的复杂性；</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（二）管理人的勤勉程度；</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（三）管理人为重整、和解工作做出的实际贡献；</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（四）管理人承担的风险和责任；</w:t>
      </w:r>
    </w:p>
    <w:p w:rsidR="00157FAD" w:rsidRDefault="00157FAD" w:rsidP="00157FAD">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（五）债务人住所地居民可支配收入及物价水平；</w:t>
      </w:r>
    </w:p>
    <w:p w:rsidR="00157FAD" w:rsidRDefault="00157FAD" w:rsidP="00157FAD">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（六）其他影响管理人报酬的情况。</w:t>
      </w:r>
    </w:p>
    <w:p w:rsidR="00157FAD" w:rsidRDefault="00157FAD" w:rsidP="00157FAD">
      <w:pPr>
        <w:autoSpaceDN w:val="0"/>
        <w:adjustRightInd w:val="0"/>
        <w:snapToGrid w:val="0"/>
        <w:spacing w:line="320" w:lineRule="auto"/>
        <w:ind w:firstLineChars="200" w:firstLine="480"/>
        <w:rPr>
          <w:rFonts w:ascii="宋体" w:eastAsia="黑体" w:hAnsi="宋体" w:hint="eastAsia"/>
          <w:color w:val="000000"/>
          <w:sz w:val="24"/>
        </w:rPr>
      </w:pPr>
      <w:r>
        <w:rPr>
          <w:rFonts w:ascii="宋体" w:eastAsia="黑体" w:hAnsi="宋体" w:hint="eastAsia"/>
          <w:color w:val="000000"/>
          <w:sz w:val="24"/>
        </w:rPr>
        <w:t>第十条</w:t>
      </w:r>
      <w:r>
        <w:rPr>
          <w:rFonts w:ascii="宋体" w:hAnsi="宋体" w:hint="eastAsia"/>
          <w:color w:val="000000"/>
          <w:sz w:val="24"/>
        </w:rPr>
        <w:t xml:space="preserve">　最终确定的管理人报酬及收取情况，应列入破产财产分配方案。在和解、重整程序中，管理人报酬方案内容应列入和解协议草案或重整计划草案。</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eastAsia="黑体" w:hAnsi="宋体" w:hint="eastAsia"/>
          <w:color w:val="000000"/>
          <w:sz w:val="24"/>
        </w:rPr>
        <w:t>第十一条</w:t>
      </w:r>
      <w:r>
        <w:rPr>
          <w:rFonts w:ascii="宋体" w:hAnsi="宋体" w:hint="eastAsia"/>
          <w:color w:val="000000"/>
          <w:sz w:val="24"/>
        </w:rPr>
        <w:t xml:space="preserve">　管理人收取报酬，应当向人民法院提出书面申请。申请书应当包括以下内容：</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（一）可供支付报酬的债务人财产情况；</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（二）申请收取报酬的时间和数额；</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（三）管理人履行职责的情况。</w:t>
      </w:r>
    </w:p>
    <w:p w:rsidR="00157FAD" w:rsidRDefault="00157FAD" w:rsidP="00157FAD">
      <w:pPr>
        <w:autoSpaceDN w:val="0"/>
        <w:adjustRightInd w:val="0"/>
        <w:snapToGrid w:val="0"/>
        <w:spacing w:line="320" w:lineRule="auto"/>
        <w:ind w:firstLineChars="200" w:firstLine="460"/>
        <w:rPr>
          <w:rFonts w:ascii="宋体" w:eastAsia="黑体" w:hAnsi="宋体" w:hint="eastAsia"/>
          <w:color w:val="000000"/>
          <w:spacing w:val="-5"/>
          <w:sz w:val="24"/>
        </w:rPr>
      </w:pPr>
      <w:r>
        <w:rPr>
          <w:rFonts w:ascii="宋体" w:hAnsi="宋体" w:hint="eastAsia"/>
          <w:color w:val="000000"/>
          <w:spacing w:val="-5"/>
          <w:sz w:val="24"/>
        </w:rPr>
        <w:t>人民法院应当自收到上述申请书之日起十日内，确定支付管理人的报酬数额。</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eastAsia="黑体" w:hAnsi="宋体" w:hint="eastAsia"/>
          <w:color w:val="000000"/>
          <w:sz w:val="24"/>
        </w:rPr>
        <w:t>第十二条</w:t>
      </w:r>
      <w:r>
        <w:rPr>
          <w:rFonts w:ascii="宋体" w:hAnsi="宋体" w:hint="eastAsia"/>
          <w:color w:val="000000"/>
          <w:sz w:val="24"/>
        </w:rPr>
        <w:t xml:space="preserve">　管理人报酬从债务人财产中优先支付。</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债务人财产不足以支付管理人报酬和管理人执行职务费用的，管理人应当提请人民法院终结破产程序。但债权人、管理人、债务人的出资人或者其他利害关系人愿意垫付上述报酬和费用的，破产程序可以继续进行。</w:t>
      </w:r>
    </w:p>
    <w:p w:rsidR="00157FAD" w:rsidRDefault="00157FAD" w:rsidP="00157FAD">
      <w:pPr>
        <w:autoSpaceDN w:val="0"/>
        <w:adjustRightInd w:val="0"/>
        <w:snapToGrid w:val="0"/>
        <w:spacing w:line="320" w:lineRule="auto"/>
        <w:ind w:firstLineChars="200" w:firstLine="480"/>
        <w:rPr>
          <w:rFonts w:ascii="宋体" w:eastAsia="黑体" w:hAnsi="宋体" w:hint="eastAsia"/>
          <w:color w:val="000000"/>
          <w:sz w:val="24"/>
        </w:rPr>
      </w:pPr>
      <w:r>
        <w:rPr>
          <w:rFonts w:ascii="宋体" w:hAnsi="宋体" w:hint="eastAsia"/>
          <w:color w:val="000000"/>
          <w:sz w:val="24"/>
        </w:rPr>
        <w:t>上述垫付款项作为破产费用从债务人财产中向垫付人随时清偿。</w:t>
      </w:r>
    </w:p>
    <w:p w:rsidR="00157FAD" w:rsidRDefault="00157FAD" w:rsidP="00157FAD">
      <w:pPr>
        <w:autoSpaceDN w:val="0"/>
        <w:adjustRightInd w:val="0"/>
        <w:snapToGrid w:val="0"/>
        <w:spacing w:line="320" w:lineRule="auto"/>
        <w:ind w:firstLineChars="200" w:firstLine="480"/>
        <w:rPr>
          <w:rFonts w:ascii="宋体" w:eastAsia="黑体" w:hAnsi="宋体" w:hint="eastAsia"/>
          <w:color w:val="000000"/>
          <w:sz w:val="24"/>
        </w:rPr>
      </w:pPr>
      <w:r>
        <w:rPr>
          <w:rFonts w:ascii="宋体" w:eastAsia="黑体" w:hAnsi="宋体" w:hint="eastAsia"/>
          <w:color w:val="000000"/>
          <w:sz w:val="24"/>
        </w:rPr>
        <w:lastRenderedPageBreak/>
        <w:t>第十三条</w:t>
      </w:r>
      <w:r>
        <w:rPr>
          <w:rFonts w:ascii="宋体" w:hAnsi="宋体" w:hint="eastAsia"/>
          <w:color w:val="000000"/>
          <w:sz w:val="24"/>
        </w:rPr>
        <w:t xml:space="preserve">　管理人对担保物的维护、变现、交付等管理工作付出合理劳动的，有权向担保权人收取适当的报酬。管理人与担保权人就上述报酬数额不能协商一致的，人民法院应当参照本规定第二条规定的方法确定，但报酬比例不得超出该条规定限制范围的10%。</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eastAsia="黑体" w:hAnsi="宋体" w:hint="eastAsia"/>
          <w:color w:val="000000"/>
          <w:sz w:val="24"/>
        </w:rPr>
        <w:t>第十四条</w:t>
      </w:r>
      <w:r>
        <w:rPr>
          <w:rFonts w:ascii="宋体" w:hAnsi="宋体" w:hint="eastAsia"/>
          <w:color w:val="000000"/>
          <w:sz w:val="24"/>
        </w:rPr>
        <w:t xml:space="preserve">　律师事务所、会计师事务所通过聘请本专业的其他社会中介机构或者人员协助履行管理人职责的，所需费用从其报酬中支付。</w:t>
      </w:r>
    </w:p>
    <w:p w:rsidR="00157FAD" w:rsidRDefault="00157FAD" w:rsidP="00157FAD">
      <w:pPr>
        <w:autoSpaceDN w:val="0"/>
        <w:adjustRightInd w:val="0"/>
        <w:snapToGrid w:val="0"/>
        <w:spacing w:line="320" w:lineRule="auto"/>
        <w:ind w:firstLineChars="200" w:firstLine="480"/>
        <w:rPr>
          <w:rFonts w:ascii="宋体" w:eastAsia="黑体" w:hAnsi="宋体" w:hint="eastAsia"/>
          <w:color w:val="000000"/>
          <w:sz w:val="24"/>
        </w:rPr>
      </w:pPr>
      <w:r>
        <w:rPr>
          <w:rFonts w:ascii="宋体" w:hAnsi="宋体" w:hint="eastAsia"/>
          <w:color w:val="000000"/>
          <w:sz w:val="24"/>
        </w:rPr>
        <w:t>破产清算事务所通过聘请其他社会中介机构或者人员协助履行管理人职责的，所需费用从其报酬中支付。</w:t>
      </w:r>
    </w:p>
    <w:p w:rsidR="00157FAD" w:rsidRDefault="00157FAD" w:rsidP="00157FAD">
      <w:pPr>
        <w:autoSpaceDN w:val="0"/>
        <w:adjustRightInd w:val="0"/>
        <w:snapToGrid w:val="0"/>
        <w:spacing w:line="320" w:lineRule="auto"/>
        <w:ind w:firstLineChars="200" w:firstLine="480"/>
        <w:rPr>
          <w:rFonts w:ascii="宋体" w:eastAsia="黑体" w:hAnsi="宋体" w:hint="eastAsia"/>
          <w:color w:val="000000"/>
          <w:sz w:val="24"/>
        </w:rPr>
      </w:pPr>
      <w:r>
        <w:rPr>
          <w:rFonts w:ascii="宋体" w:eastAsia="黑体" w:hAnsi="宋体" w:hint="eastAsia"/>
          <w:color w:val="000000"/>
          <w:sz w:val="24"/>
        </w:rPr>
        <w:t>第十五条</w:t>
      </w:r>
      <w:r>
        <w:rPr>
          <w:rFonts w:ascii="宋体" w:hAnsi="宋体" w:hint="eastAsia"/>
          <w:color w:val="000000"/>
          <w:sz w:val="24"/>
        </w:rPr>
        <w:t xml:space="preserve">　清算组中有关政府部门派出的工作人员参与工作的不收取报酬。其他机构或人员的报酬根据其履行职责的情况确定。</w:t>
      </w:r>
    </w:p>
    <w:p w:rsidR="00157FAD" w:rsidRDefault="00157FAD" w:rsidP="00157FAD">
      <w:pPr>
        <w:autoSpaceDN w:val="0"/>
        <w:adjustRightInd w:val="0"/>
        <w:snapToGrid w:val="0"/>
        <w:spacing w:line="320" w:lineRule="auto"/>
        <w:ind w:firstLineChars="200" w:firstLine="480"/>
        <w:rPr>
          <w:rFonts w:ascii="宋体" w:eastAsia="黑体" w:hAnsi="宋体" w:hint="eastAsia"/>
          <w:color w:val="000000"/>
          <w:sz w:val="24"/>
        </w:rPr>
      </w:pPr>
      <w:r>
        <w:rPr>
          <w:rFonts w:ascii="宋体" w:eastAsia="黑体" w:hAnsi="宋体" w:hint="eastAsia"/>
          <w:color w:val="000000"/>
          <w:sz w:val="24"/>
        </w:rPr>
        <w:t>第十六条</w:t>
      </w:r>
      <w:r>
        <w:rPr>
          <w:rFonts w:ascii="宋体" w:hAnsi="宋体" w:hint="eastAsia"/>
          <w:color w:val="000000"/>
          <w:sz w:val="24"/>
        </w:rPr>
        <w:t xml:space="preserve">　管理人发生更换的，人民法院应当分别确定更换前后的管理人报酬。其报酬比例总和不得超出本规定第二条规定的限制范围。</w:t>
      </w:r>
    </w:p>
    <w:p w:rsidR="00157FAD" w:rsidRDefault="00157FAD" w:rsidP="00157FAD">
      <w:pPr>
        <w:autoSpaceDN w:val="0"/>
        <w:adjustRightInd w:val="0"/>
        <w:snapToGrid w:val="0"/>
        <w:spacing w:line="320" w:lineRule="auto"/>
        <w:ind w:firstLineChars="200" w:firstLine="480"/>
        <w:rPr>
          <w:rFonts w:ascii="宋体" w:eastAsia="黑体" w:hAnsi="宋体" w:hint="eastAsia"/>
          <w:color w:val="000000"/>
          <w:sz w:val="24"/>
        </w:rPr>
      </w:pPr>
      <w:r>
        <w:rPr>
          <w:rFonts w:ascii="宋体" w:eastAsia="黑体" w:hAnsi="宋体" w:hint="eastAsia"/>
          <w:color w:val="000000"/>
          <w:sz w:val="24"/>
        </w:rPr>
        <w:t>第十七条</w:t>
      </w:r>
      <w:r>
        <w:rPr>
          <w:rFonts w:ascii="宋体" w:hAnsi="宋体" w:hint="eastAsia"/>
          <w:color w:val="000000"/>
          <w:sz w:val="24"/>
        </w:rPr>
        <w:t xml:space="preserve">　债权人会议对管理人报酬有异议的，应当向人民法院书面提出具体的请求和理由。异议书应当附有相应的债权人会议决议。</w:t>
      </w:r>
    </w:p>
    <w:p w:rsidR="00157FAD" w:rsidRDefault="00157FAD" w:rsidP="00157FAD">
      <w:pPr>
        <w:autoSpaceDN w:val="0"/>
        <w:adjustRightInd w:val="0"/>
        <w:snapToGrid w:val="0"/>
        <w:spacing w:line="320" w:lineRule="auto"/>
        <w:ind w:firstLineChars="200" w:firstLine="480"/>
        <w:rPr>
          <w:rFonts w:ascii="宋体" w:hAnsi="宋体" w:hint="eastAsia"/>
          <w:color w:val="000000"/>
          <w:sz w:val="24"/>
        </w:rPr>
      </w:pPr>
      <w:r>
        <w:rPr>
          <w:rFonts w:ascii="宋体" w:eastAsia="黑体" w:hAnsi="宋体" w:hint="eastAsia"/>
          <w:color w:val="000000"/>
          <w:sz w:val="24"/>
        </w:rPr>
        <w:t>第十八条</w:t>
      </w:r>
      <w:r>
        <w:rPr>
          <w:rFonts w:ascii="宋体" w:hAnsi="宋体" w:hint="eastAsia"/>
          <w:color w:val="000000"/>
          <w:sz w:val="24"/>
        </w:rPr>
        <w:t xml:space="preserve">　人民法院应当自收到债权人会议异议书之日起三日内通知管理人。管理人应当自收到通知之日起三日内作出书面说明。</w:t>
      </w:r>
    </w:p>
    <w:p w:rsidR="00157FAD" w:rsidRDefault="00157FAD" w:rsidP="00157FAD">
      <w:pPr>
        <w:autoSpaceDN w:val="0"/>
        <w:adjustRightInd w:val="0"/>
        <w:snapToGrid w:val="0"/>
        <w:spacing w:line="320" w:lineRule="auto"/>
        <w:ind w:firstLineChars="200" w:firstLine="480"/>
        <w:rPr>
          <w:rFonts w:ascii="宋体" w:hAnsi="宋体"/>
          <w:color w:val="000000"/>
          <w:sz w:val="24"/>
        </w:rPr>
      </w:pPr>
      <w:r>
        <w:rPr>
          <w:rFonts w:ascii="宋体" w:hAnsi="宋体" w:hint="eastAsia"/>
          <w:color w:val="000000"/>
          <w:sz w:val="24"/>
        </w:rPr>
        <w:t>人民法院认为有必要的，可以举行听证会，听取当事人意见。</w:t>
      </w:r>
    </w:p>
    <w:p w:rsidR="00192672" w:rsidRPr="00157FAD" w:rsidRDefault="00157FAD" w:rsidP="00157FAD">
      <w:pPr>
        <w:autoSpaceDN w:val="0"/>
        <w:adjustRightInd w:val="0"/>
        <w:snapToGrid w:val="0"/>
        <w:spacing w:line="320" w:lineRule="auto"/>
        <w:ind w:firstLineChars="200" w:firstLine="480"/>
        <w:rPr>
          <w:rFonts w:ascii="宋体" w:hAnsi="宋体"/>
          <w:color w:val="000000"/>
          <w:sz w:val="24"/>
        </w:rPr>
      </w:pPr>
      <w:r>
        <w:rPr>
          <w:rFonts w:ascii="宋体" w:hAnsi="宋体" w:hint="eastAsia"/>
          <w:color w:val="000000"/>
          <w:sz w:val="24"/>
        </w:rPr>
        <w:t>人民法院应当自收到债权人会议异议书之日起十日内，就是否调整管理人报酬问题书面通知管理人、债权人委员会或者债权人会议主席。</w:t>
      </w:r>
    </w:p>
    <w:sectPr w:rsidR="00192672" w:rsidRPr="00157FAD"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AD"/>
    <w:rsid w:val="001006E4"/>
    <w:rsid w:val="00157FAD"/>
    <w:rsid w:val="001C115D"/>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E493"/>
  <w15:chartTrackingRefBased/>
  <w15:docId w15:val="{5415FFA8-5D3D-A540-975C-E6AD8817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FA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2020-07-07T20:33:00Z</dcterms:created>
  <dcterms:modified xsi:type="dcterms:W3CDTF">2020-07-07T20:34:00Z</dcterms:modified>
</cp:coreProperties>
</file>