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384646" w:rsidRDefault="007911E7" w:rsidP="00A75184">
      <w:pPr>
        <w:pStyle w:val="promulgatetitle"/>
        <w:spacing w:beforeLines="50" w:before="211" w:beforeAutospacing="0" w:after="0" w:afterAutospacing="0" w:line="520" w:lineRule="exact"/>
        <w:rPr>
          <w:rFonts w:ascii="方正小标宋_GBK" w:eastAsia="方正小标宋_GBK" w:hAnsi="方正小标宋_GBK" w:cs="方正小标宋_GBK"/>
          <w:b w:val="0"/>
          <w:bCs w:val="0"/>
          <w:vanish w:val="0"/>
          <w:color w:val="000000"/>
          <w:w w:val="97"/>
          <w:kern w:val="2"/>
          <w:sz w:val="42"/>
          <w:szCs w:val="42"/>
        </w:rPr>
      </w:pPr>
      <w:r w:rsidRPr="00384646">
        <w:rPr>
          <w:rFonts w:ascii="方正小标宋_GBK" w:eastAsia="方正小标宋_GBK" w:hAnsi="方正小标宋_GBK" w:cs="方正小标宋_GBK" w:hint="eastAsia"/>
          <w:b w:val="0"/>
          <w:bCs w:val="0"/>
          <w:vanish w:val="0"/>
          <w:color w:val="000000"/>
          <w:w w:val="97"/>
          <w:kern w:val="2"/>
          <w:sz w:val="42"/>
          <w:szCs w:val="42"/>
        </w:rPr>
        <w:t>最高人民法院关于税务机关就破产企业欠缴税款产生的滞纳金提起的债权确认之诉应否受理问题的批复</w:t>
      </w:r>
    </w:p>
    <w:p w14:paraId="024C5C78" w14:textId="64E99F10" w:rsidR="00E62A39" w:rsidRPr="00384646" w:rsidRDefault="00687F70" w:rsidP="00A75184">
      <w:pPr>
        <w:shd w:val="clear" w:color="auto" w:fill="FFFFFF"/>
        <w:spacing w:beforeLines="50" w:before="211" w:line="480" w:lineRule="exact"/>
        <w:jc w:val="center"/>
        <w:outlineLvl w:val="2"/>
        <w:rPr>
          <w:rFonts w:ascii="楷体_GB2312" w:eastAsia="楷体_GB2312" w:hAnsi="楷体_GB2312" w:cs="楷体_GB2312"/>
          <w:color w:val="000000"/>
          <w:sz w:val="28"/>
          <w:szCs w:val="28"/>
        </w:rPr>
      </w:pPr>
      <w:r w:rsidRPr="00384646">
        <w:rPr>
          <w:rFonts w:ascii="楷体_GB2312" w:eastAsia="楷体_GB2312" w:hAnsi="楷体_GB2312" w:cs="楷体_GB2312" w:hint="eastAsia"/>
          <w:color w:val="000000"/>
          <w:sz w:val="28"/>
          <w:szCs w:val="28"/>
        </w:rPr>
        <w:t>（2012年6月4日最高人民法院审判委员会第1548次会议通过）</w:t>
      </w:r>
    </w:p>
    <w:p w14:paraId="0100001E" w14:textId="77777777" w:rsidR="00384646" w:rsidRDefault="00384646" w:rsidP="00A75184">
      <w:pPr>
        <w:pStyle w:val="11"/>
        <w:spacing w:beforeLines="50" w:before="211" w:beforeAutospacing="0" w:after="0" w:afterAutospacing="0" w:line="480" w:lineRule="exact"/>
        <w:ind w:firstLineChars="200" w:firstLine="420"/>
      </w:pPr>
    </w:p>
    <w:p w14:paraId="08E1E112" w14:textId="34C83E04" w:rsidR="007911E7" w:rsidRPr="00384646" w:rsidRDefault="007911E7" w:rsidP="00A75184">
      <w:pPr>
        <w:pStyle w:val="11"/>
        <w:spacing w:beforeLines="50" w:before="211" w:beforeAutospacing="0" w:after="0" w:afterAutospacing="0" w:line="480" w:lineRule="exact"/>
        <w:ind w:firstLineChars="200"/>
        <w:rPr>
          <w:rFonts w:ascii="宋体" w:eastAsia="宋体" w:hAnsi="宋体" w:cs="Times New Roman"/>
          <w:color w:val="000000"/>
          <w:kern w:val="2"/>
          <w:sz w:val="24"/>
          <w:szCs w:val="20"/>
        </w:rPr>
      </w:pPr>
      <w:bookmarkStart w:id="0" w:name="_GoBack"/>
      <w:r w:rsidRPr="00384646">
        <w:rPr>
          <w:rFonts w:ascii="宋体" w:eastAsia="宋体" w:hAnsi="宋体" w:cs="Times New Roman" w:hint="eastAsia"/>
          <w:color w:val="000000"/>
          <w:kern w:val="2"/>
          <w:sz w:val="24"/>
          <w:szCs w:val="20"/>
        </w:rPr>
        <w:t>《最高人民法院关于税务机关就破产企业欠缴税款产生的滞纳金提起的债权确认之诉应否受理问题的批复》已于2012年6月4日由最高人民法院审判委员会第1548次会议通过，现予公布，自2012年7月12日起施行。</w:t>
      </w:r>
    </w:p>
    <w:p w14:paraId="598F2AD3" w14:textId="77777777" w:rsidR="007911E7" w:rsidRPr="00384646" w:rsidRDefault="007911E7" w:rsidP="00A75184">
      <w:pPr>
        <w:pStyle w:val="11"/>
        <w:spacing w:beforeLines="50" w:before="211" w:beforeAutospacing="0" w:after="0" w:afterAutospacing="0" w:line="480" w:lineRule="exact"/>
        <w:ind w:firstLineChars="200"/>
        <w:rPr>
          <w:rFonts w:ascii="宋体" w:eastAsia="宋体" w:hAnsi="宋体" w:cs="Times New Roman"/>
          <w:color w:val="000000"/>
          <w:kern w:val="2"/>
          <w:sz w:val="24"/>
          <w:szCs w:val="20"/>
        </w:rPr>
      </w:pPr>
      <w:r w:rsidRPr="00384646">
        <w:rPr>
          <w:rFonts w:ascii="宋体" w:eastAsia="宋体" w:hAnsi="宋体" w:cs="Times New Roman" w:hint="eastAsia"/>
          <w:color w:val="000000"/>
          <w:kern w:val="2"/>
          <w:sz w:val="24"/>
          <w:szCs w:val="20"/>
        </w:rPr>
        <w:t>青海省高级人民法院：</w:t>
      </w:r>
    </w:p>
    <w:p w14:paraId="646AC6DA" w14:textId="77777777" w:rsidR="007911E7" w:rsidRPr="00384646" w:rsidRDefault="007911E7" w:rsidP="00A75184">
      <w:pPr>
        <w:pStyle w:val="11"/>
        <w:spacing w:beforeLines="50" w:before="211" w:beforeAutospacing="0" w:after="0" w:afterAutospacing="0" w:line="480" w:lineRule="exact"/>
        <w:ind w:firstLineChars="200"/>
        <w:rPr>
          <w:rFonts w:ascii="宋体" w:eastAsia="宋体" w:hAnsi="宋体" w:cs="Times New Roman"/>
          <w:color w:val="000000"/>
          <w:kern w:val="2"/>
          <w:sz w:val="24"/>
          <w:szCs w:val="20"/>
        </w:rPr>
      </w:pPr>
      <w:r w:rsidRPr="00384646">
        <w:rPr>
          <w:rFonts w:ascii="宋体" w:eastAsia="宋体" w:hAnsi="宋体" w:cs="Times New Roman" w:hint="eastAsia"/>
          <w:color w:val="000000"/>
          <w:kern w:val="2"/>
          <w:sz w:val="24"/>
          <w:szCs w:val="20"/>
        </w:rPr>
        <w:t>你院《关于税务机关就税款滞纳金提起债权确认之诉应否受理问题的请示》（青民他字[2011]1号）收悉。经研究，答复如下：</w:t>
      </w:r>
    </w:p>
    <w:p w14:paraId="6F5B901B" w14:textId="77777777" w:rsidR="007911E7" w:rsidRPr="00384646" w:rsidRDefault="007911E7" w:rsidP="00A75184">
      <w:pPr>
        <w:pStyle w:val="11"/>
        <w:spacing w:beforeLines="50" w:before="211" w:beforeAutospacing="0" w:after="0" w:afterAutospacing="0" w:line="480" w:lineRule="exact"/>
        <w:ind w:firstLineChars="200"/>
        <w:rPr>
          <w:rFonts w:ascii="宋体" w:eastAsia="宋体" w:hAnsi="宋体" w:cs="Times New Roman"/>
          <w:color w:val="000000"/>
          <w:kern w:val="2"/>
          <w:sz w:val="24"/>
          <w:szCs w:val="20"/>
        </w:rPr>
      </w:pPr>
      <w:r w:rsidRPr="00384646">
        <w:rPr>
          <w:rFonts w:ascii="宋体" w:eastAsia="宋体" w:hAnsi="宋体" w:cs="Times New Roman" w:hint="eastAsia"/>
          <w:color w:val="000000"/>
          <w:kern w:val="2"/>
          <w:sz w:val="24"/>
          <w:szCs w:val="20"/>
        </w:rPr>
        <w:t>税务机关就破产企业欠缴税款产生的滞纳金提起的债权确认之诉，人民法院应依法受理。依照企业破产法、税收征收管理法的有关规定，破产企业在破产案件受理前因欠缴税款产生的滞纳金属于普通破产债权。对于破产案件受理后因欠缴税款产生的滞纳金，人民法院应当依照《最高人民法院关于审理企业破产案件若干问题的规定》第六十一条规定处理。</w:t>
      </w:r>
    </w:p>
    <w:p w14:paraId="26B43FC4" w14:textId="77777777" w:rsidR="007911E7" w:rsidRPr="00384646" w:rsidRDefault="007911E7" w:rsidP="00A75184">
      <w:pPr>
        <w:pStyle w:val="11"/>
        <w:spacing w:beforeLines="50" w:before="211" w:beforeAutospacing="0" w:after="0" w:afterAutospacing="0" w:line="480" w:lineRule="exact"/>
        <w:ind w:firstLineChars="200"/>
        <w:rPr>
          <w:rFonts w:ascii="宋体" w:eastAsia="宋体" w:hAnsi="宋体" w:cs="Times New Roman"/>
          <w:color w:val="000000"/>
          <w:kern w:val="2"/>
          <w:sz w:val="24"/>
          <w:szCs w:val="20"/>
        </w:rPr>
      </w:pPr>
      <w:bookmarkStart w:id="1" w:name="No226_T68K1X1"/>
      <w:bookmarkEnd w:id="1"/>
      <w:r w:rsidRPr="00384646">
        <w:rPr>
          <w:rFonts w:ascii="宋体" w:eastAsia="宋体" w:hAnsi="宋体" w:cs="Times New Roman" w:hint="eastAsia"/>
          <w:color w:val="000000"/>
          <w:kern w:val="2"/>
          <w:sz w:val="24"/>
          <w:szCs w:val="20"/>
        </w:rPr>
        <w:t>此复。</w:t>
      </w:r>
      <w:bookmarkEnd w:id="0"/>
    </w:p>
    <w:sectPr w:rsidR="007911E7" w:rsidRPr="00384646" w:rsidSect="000C10B9">
      <w:footerReference w:type="even" r:id="rId8"/>
      <w:footerReference w:type="default" r:id="rId9"/>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C702A" w14:textId="77777777" w:rsidR="00F36613" w:rsidRDefault="00F36613" w:rsidP="0058105E">
      <w:r>
        <w:separator/>
      </w:r>
    </w:p>
  </w:endnote>
  <w:endnote w:type="continuationSeparator" w:id="0">
    <w:p w14:paraId="0630D6BF" w14:textId="77777777" w:rsidR="00F36613" w:rsidRDefault="00F36613" w:rsidP="005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BE2026" w:rsidRDefault="00BE2026" w:rsidP="002C39F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A1A4A3" w14:textId="77777777" w:rsidR="00E709D0" w:rsidRDefault="00E709D0" w:rsidP="002C39FF">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35F3A2" w14:textId="77777777" w:rsidR="00E709D0" w:rsidRDefault="00E709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8D01" w14:textId="77777777" w:rsidR="00BE2026" w:rsidRDefault="00BE2026" w:rsidP="00D83979">
    <w:pPr>
      <w:pStyle w:val="a5"/>
      <w:framePr w:wrap="none" w:vAnchor="text" w:hAnchor="page" w:x="5782" w:y="-101"/>
      <w:rPr>
        <w:rStyle w:val="a7"/>
      </w:rPr>
    </w:pPr>
    <w:r>
      <w:rPr>
        <w:rStyle w:val="a7"/>
      </w:rPr>
      <w:fldChar w:fldCharType="begin"/>
    </w:r>
    <w:r>
      <w:rPr>
        <w:rStyle w:val="a7"/>
      </w:rPr>
      <w:instrText xml:space="preserve">PAGE  </w:instrText>
    </w:r>
    <w:r>
      <w:rPr>
        <w:rStyle w:val="a7"/>
      </w:rPr>
      <w:fldChar w:fldCharType="separate"/>
    </w:r>
    <w:r w:rsidR="00FD2CD5">
      <w:rPr>
        <w:rStyle w:val="a7"/>
        <w:noProof/>
      </w:rPr>
      <w:t>1</w:t>
    </w:r>
    <w:r>
      <w:rPr>
        <w:rStyle w:val="a7"/>
      </w:rPr>
      <w:fldChar w:fldCharType="end"/>
    </w:r>
  </w:p>
  <w:p w14:paraId="71AE3561" w14:textId="77777777" w:rsidR="00BE2026" w:rsidRDefault="00BE20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E743" w14:textId="77777777" w:rsidR="00F36613" w:rsidRDefault="00F36613" w:rsidP="0058105E">
      <w:r>
        <w:separator/>
      </w:r>
    </w:p>
  </w:footnote>
  <w:footnote w:type="continuationSeparator" w:id="0">
    <w:p w14:paraId="17F5427A" w14:textId="77777777" w:rsidR="00F36613" w:rsidRDefault="00F36613" w:rsidP="00581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activeWritingStyle w:appName="MSWord" w:lang="en-US" w:vendorID="64" w:dllVersion="6" w:nlCheck="1" w:checkStyle="0"/>
  <w:activeWritingStyle w:appName="MSWord" w:lang="en-US" w:vendorID="64" w:dllVersion="0" w:nlCheck="1" w:checkStyle="0"/>
  <w:proofState w:spelling="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C10B9"/>
    <w:rsid w:val="00155379"/>
    <w:rsid w:val="0017262F"/>
    <w:rsid w:val="00182C03"/>
    <w:rsid w:val="00186C4B"/>
    <w:rsid w:val="0019779C"/>
    <w:rsid w:val="001A42BB"/>
    <w:rsid w:val="001B24CE"/>
    <w:rsid w:val="001B2E08"/>
    <w:rsid w:val="001D0531"/>
    <w:rsid w:val="001D686D"/>
    <w:rsid w:val="002A2902"/>
    <w:rsid w:val="002C39FF"/>
    <w:rsid w:val="002D5D85"/>
    <w:rsid w:val="002F167B"/>
    <w:rsid w:val="00315774"/>
    <w:rsid w:val="003309EA"/>
    <w:rsid w:val="003458E8"/>
    <w:rsid w:val="00357CE9"/>
    <w:rsid w:val="00374CB2"/>
    <w:rsid w:val="00376810"/>
    <w:rsid w:val="00383B57"/>
    <w:rsid w:val="00384646"/>
    <w:rsid w:val="003B262C"/>
    <w:rsid w:val="003B4437"/>
    <w:rsid w:val="003C10FA"/>
    <w:rsid w:val="003D3437"/>
    <w:rsid w:val="003D5198"/>
    <w:rsid w:val="003F7DB5"/>
    <w:rsid w:val="00405BE7"/>
    <w:rsid w:val="00406A7C"/>
    <w:rsid w:val="00413553"/>
    <w:rsid w:val="00421888"/>
    <w:rsid w:val="00446D77"/>
    <w:rsid w:val="00467D9B"/>
    <w:rsid w:val="00475DC8"/>
    <w:rsid w:val="004B4872"/>
    <w:rsid w:val="004F13D2"/>
    <w:rsid w:val="0050753C"/>
    <w:rsid w:val="0055454B"/>
    <w:rsid w:val="0058105E"/>
    <w:rsid w:val="00581CC2"/>
    <w:rsid w:val="005A545E"/>
    <w:rsid w:val="005D2A44"/>
    <w:rsid w:val="005D6387"/>
    <w:rsid w:val="005E1E7E"/>
    <w:rsid w:val="005E4537"/>
    <w:rsid w:val="005E6D11"/>
    <w:rsid w:val="005F302E"/>
    <w:rsid w:val="00647249"/>
    <w:rsid w:val="0067413F"/>
    <w:rsid w:val="00674271"/>
    <w:rsid w:val="00681022"/>
    <w:rsid w:val="00686367"/>
    <w:rsid w:val="006864EA"/>
    <w:rsid w:val="00687F70"/>
    <w:rsid w:val="0069459A"/>
    <w:rsid w:val="00695BBA"/>
    <w:rsid w:val="006B4B40"/>
    <w:rsid w:val="006C1E70"/>
    <w:rsid w:val="006C2F31"/>
    <w:rsid w:val="006C3857"/>
    <w:rsid w:val="006E374D"/>
    <w:rsid w:val="00701E2A"/>
    <w:rsid w:val="0071172E"/>
    <w:rsid w:val="00762164"/>
    <w:rsid w:val="007729AE"/>
    <w:rsid w:val="007756F7"/>
    <w:rsid w:val="007902D8"/>
    <w:rsid w:val="007911E7"/>
    <w:rsid w:val="00791FE7"/>
    <w:rsid w:val="00795EF7"/>
    <w:rsid w:val="007A21E7"/>
    <w:rsid w:val="007F7F4A"/>
    <w:rsid w:val="00805D1F"/>
    <w:rsid w:val="008157A1"/>
    <w:rsid w:val="00846EED"/>
    <w:rsid w:val="008770F6"/>
    <w:rsid w:val="008A0D66"/>
    <w:rsid w:val="008B30B1"/>
    <w:rsid w:val="008F7C89"/>
    <w:rsid w:val="00911F3F"/>
    <w:rsid w:val="009121D8"/>
    <w:rsid w:val="009260CB"/>
    <w:rsid w:val="00950CBB"/>
    <w:rsid w:val="00963F94"/>
    <w:rsid w:val="00966E87"/>
    <w:rsid w:val="00983AF9"/>
    <w:rsid w:val="009D7F36"/>
    <w:rsid w:val="009F0946"/>
    <w:rsid w:val="009F1EAF"/>
    <w:rsid w:val="00A07EE7"/>
    <w:rsid w:val="00A23C07"/>
    <w:rsid w:val="00A5155E"/>
    <w:rsid w:val="00A6261D"/>
    <w:rsid w:val="00A67A2B"/>
    <w:rsid w:val="00A75184"/>
    <w:rsid w:val="00A7683F"/>
    <w:rsid w:val="00AD29DF"/>
    <w:rsid w:val="00B26EB6"/>
    <w:rsid w:val="00B33D8B"/>
    <w:rsid w:val="00B42D0D"/>
    <w:rsid w:val="00B45CD8"/>
    <w:rsid w:val="00B94875"/>
    <w:rsid w:val="00BA40E8"/>
    <w:rsid w:val="00BB260D"/>
    <w:rsid w:val="00BB56F9"/>
    <w:rsid w:val="00BE2026"/>
    <w:rsid w:val="00BE618D"/>
    <w:rsid w:val="00CB0C3C"/>
    <w:rsid w:val="00D11826"/>
    <w:rsid w:val="00D11FA0"/>
    <w:rsid w:val="00D21CC8"/>
    <w:rsid w:val="00D350CF"/>
    <w:rsid w:val="00D429FF"/>
    <w:rsid w:val="00D707CE"/>
    <w:rsid w:val="00D83979"/>
    <w:rsid w:val="00D87B1D"/>
    <w:rsid w:val="00D9483C"/>
    <w:rsid w:val="00DB3F75"/>
    <w:rsid w:val="00DD4082"/>
    <w:rsid w:val="00DD6EBA"/>
    <w:rsid w:val="00DF5DD3"/>
    <w:rsid w:val="00E16E7C"/>
    <w:rsid w:val="00E20705"/>
    <w:rsid w:val="00E367EF"/>
    <w:rsid w:val="00E4508E"/>
    <w:rsid w:val="00E519E7"/>
    <w:rsid w:val="00E62A39"/>
    <w:rsid w:val="00E6789D"/>
    <w:rsid w:val="00E709D0"/>
    <w:rsid w:val="00E9315A"/>
    <w:rsid w:val="00E93E4A"/>
    <w:rsid w:val="00EE2355"/>
    <w:rsid w:val="00F15993"/>
    <w:rsid w:val="00F36613"/>
    <w:rsid w:val="00F42084"/>
    <w:rsid w:val="00F47B0B"/>
    <w:rsid w:val="00F63D38"/>
    <w:rsid w:val="00F6559B"/>
    <w:rsid w:val="00FA04AF"/>
    <w:rsid w:val="00FD2CD5"/>
    <w:rsid w:val="00FD7099"/>
    <w:rsid w:val="00FE1BFB"/>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911E7"/>
    <w:rPr>
      <w:rFonts w:ascii="宋体" w:eastAsia="宋体" w:hAnsi="宋体" w:cs="宋体"/>
      <w:kern w:val="0"/>
    </w:rPr>
  </w:style>
  <w:style w:type="paragraph" w:styleId="1">
    <w:name w:val="heading 1"/>
    <w:basedOn w:val="a"/>
    <w:link w:val="10"/>
    <w:uiPriority w:val="9"/>
    <w:qFormat/>
    <w:rsid w:val="007911E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864E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7911E7"/>
    <w:rPr>
      <w:rFonts w:ascii="宋体" w:eastAsia="宋体" w:hAnsi="宋体" w:cs="宋体"/>
      <w:b/>
      <w:bCs/>
      <w:kern w:val="36"/>
      <w:sz w:val="48"/>
      <w:szCs w:val="48"/>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sz w:val="21"/>
      <w:szCs w:val="21"/>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sz w:val="21"/>
      <w:szCs w:val="21"/>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rPr>
      <w:sz w:val="21"/>
      <w:szCs w:val="21"/>
    </w:rPr>
  </w:style>
  <w:style w:type="paragraph" w:customStyle="1" w:styleId="promulgatesignatory">
    <w:name w:val="promulgatesignatory"/>
    <w:basedOn w:val="a"/>
    <w:rsid w:val="007911E7"/>
    <w:pPr>
      <w:jc w:val="right"/>
    </w:pPr>
    <w:rPr>
      <w:sz w:val="21"/>
      <w:szCs w:val="21"/>
    </w:r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sz w:val="21"/>
      <w:szCs w:val="21"/>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character" w:customStyle="1" w:styleId="30">
    <w:name w:val="标题 3 字符"/>
    <w:basedOn w:val="a0"/>
    <w:link w:val="3"/>
    <w:uiPriority w:val="9"/>
    <w:rsid w:val="00EE2355"/>
    <w:rPr>
      <w:rFonts w:ascii="宋体" w:eastAsia="宋体" w:hAnsi="宋体" w:cs="宋体"/>
      <w:b/>
      <w:bCs/>
      <w:kern w:val="0"/>
      <w:sz w:val="32"/>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6864EA"/>
    <w:rPr>
      <w:rFonts w:asciiTheme="majorHAnsi" w:eastAsiaTheme="majorEastAsia" w:hAnsiTheme="majorHAnsi" w:cstheme="majorBidi"/>
      <w:b/>
      <w:bCs/>
      <w:kern w:val="0"/>
      <w:sz w:val="32"/>
      <w:szCs w:val="32"/>
    </w:rPr>
  </w:style>
  <w:style w:type="paragraph" w:styleId="TOC1">
    <w:name w:val="toc 1"/>
    <w:basedOn w:val="1"/>
    <w:next w:val="1"/>
    <w:autoRedefine/>
    <w:uiPriority w:val="39"/>
    <w:unhideWhenUsed/>
    <w:rsid w:val="00475DC8"/>
    <w:pPr>
      <w:spacing w:before="120" w:beforeAutospacing="0" w:after="0" w:afterAutospacing="0"/>
      <w:outlineLvl w:val="9"/>
    </w:pPr>
    <w:rPr>
      <w:rFonts w:asciiTheme="minorHAnsi" w:eastAsiaTheme="minorHAnsi"/>
      <w:kern w:val="0"/>
      <w:sz w:val="24"/>
      <w:szCs w:val="24"/>
    </w:rPr>
  </w:style>
  <w:style w:type="paragraph" w:styleId="TOC2">
    <w:name w:val="toc 2"/>
    <w:basedOn w:val="a"/>
    <w:next w:val="a"/>
    <w:autoRedefine/>
    <w:uiPriority w:val="39"/>
    <w:unhideWhenUsed/>
    <w:rsid w:val="00D83979"/>
    <w:pPr>
      <w:ind w:left="240"/>
    </w:pPr>
    <w:rPr>
      <w:rFonts w:asciiTheme="minorHAnsi" w:eastAsiaTheme="minorHAnsi"/>
      <w:b/>
      <w:bCs/>
      <w:sz w:val="22"/>
      <w:szCs w:val="22"/>
    </w:rPr>
  </w:style>
  <w:style w:type="paragraph" w:styleId="TOC3">
    <w:name w:val="toc 3"/>
    <w:basedOn w:val="a"/>
    <w:next w:val="a"/>
    <w:autoRedefine/>
    <w:uiPriority w:val="39"/>
    <w:unhideWhenUsed/>
    <w:rsid w:val="00D83979"/>
    <w:pPr>
      <w:ind w:left="480"/>
    </w:pPr>
    <w:rPr>
      <w:rFonts w:asciiTheme="minorHAnsi" w:eastAsiaTheme="minorHAnsi"/>
      <w:sz w:val="22"/>
      <w:szCs w:val="22"/>
    </w:rPr>
  </w:style>
  <w:style w:type="paragraph" w:styleId="TOC4">
    <w:name w:val="toc 4"/>
    <w:basedOn w:val="a"/>
    <w:next w:val="a"/>
    <w:autoRedefine/>
    <w:uiPriority w:val="39"/>
    <w:unhideWhenUsed/>
    <w:rsid w:val="00D83979"/>
    <w:pPr>
      <w:ind w:left="720"/>
    </w:pPr>
    <w:rPr>
      <w:rFonts w:asciiTheme="minorHAnsi" w:eastAsiaTheme="minorHAnsi"/>
      <w:sz w:val="20"/>
      <w:szCs w:val="20"/>
    </w:rPr>
  </w:style>
  <w:style w:type="paragraph" w:styleId="TOC5">
    <w:name w:val="toc 5"/>
    <w:basedOn w:val="a"/>
    <w:next w:val="a"/>
    <w:autoRedefine/>
    <w:uiPriority w:val="39"/>
    <w:unhideWhenUsed/>
    <w:rsid w:val="00D83979"/>
    <w:pPr>
      <w:ind w:left="960"/>
    </w:pPr>
    <w:rPr>
      <w:rFonts w:asciiTheme="minorHAnsi" w:eastAsiaTheme="minorHAnsi"/>
      <w:sz w:val="20"/>
      <w:szCs w:val="20"/>
    </w:rPr>
  </w:style>
  <w:style w:type="paragraph" w:styleId="TOC6">
    <w:name w:val="toc 6"/>
    <w:basedOn w:val="a"/>
    <w:next w:val="a"/>
    <w:autoRedefine/>
    <w:uiPriority w:val="39"/>
    <w:unhideWhenUsed/>
    <w:rsid w:val="00D83979"/>
    <w:pPr>
      <w:ind w:left="1200"/>
    </w:pPr>
    <w:rPr>
      <w:rFonts w:asciiTheme="minorHAnsi" w:eastAsiaTheme="minorHAnsi"/>
      <w:sz w:val="20"/>
      <w:szCs w:val="20"/>
    </w:rPr>
  </w:style>
  <w:style w:type="paragraph" w:styleId="TOC7">
    <w:name w:val="toc 7"/>
    <w:basedOn w:val="a"/>
    <w:next w:val="a"/>
    <w:autoRedefine/>
    <w:uiPriority w:val="39"/>
    <w:unhideWhenUsed/>
    <w:rsid w:val="00D83979"/>
    <w:pPr>
      <w:ind w:left="1440"/>
    </w:pPr>
    <w:rPr>
      <w:rFonts w:asciiTheme="minorHAnsi" w:eastAsiaTheme="minorHAnsi"/>
      <w:sz w:val="20"/>
      <w:szCs w:val="20"/>
    </w:rPr>
  </w:style>
  <w:style w:type="paragraph" w:styleId="TOC8">
    <w:name w:val="toc 8"/>
    <w:basedOn w:val="a"/>
    <w:next w:val="a"/>
    <w:autoRedefine/>
    <w:uiPriority w:val="39"/>
    <w:unhideWhenUsed/>
    <w:rsid w:val="00D83979"/>
    <w:pPr>
      <w:ind w:left="1680"/>
    </w:pPr>
    <w:rPr>
      <w:rFonts w:asciiTheme="minorHAnsi" w:eastAsiaTheme="minorHAnsi"/>
      <w:sz w:val="20"/>
      <w:szCs w:val="20"/>
    </w:rPr>
  </w:style>
  <w:style w:type="paragraph" w:styleId="TOC9">
    <w:name w:val="toc 9"/>
    <w:basedOn w:val="a"/>
    <w:next w:val="a"/>
    <w:autoRedefine/>
    <w:uiPriority w:val="39"/>
    <w:unhideWhenUsed/>
    <w:rsid w:val="00D83979"/>
    <w:pPr>
      <w:ind w:left="1920"/>
    </w:pPr>
    <w:rPr>
      <w:rFonts w:asciiTheme="minorHAnsi" w:eastAsiaTheme="minorHAnsi"/>
      <w:sz w:val="20"/>
      <w:szCs w:val="20"/>
    </w:rPr>
  </w:style>
  <w:style w:type="paragraph" w:styleId="TOC">
    <w:name w:val="TOC Heading"/>
    <w:basedOn w:val="1"/>
    <w:next w:val="a"/>
    <w:uiPriority w:val="39"/>
    <w:unhideWhenUsed/>
    <w:qFormat/>
    <w:rsid w:val="00475DC8"/>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val="0"/>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71F15B-B710-AF4F-8F0B-66CB246A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61</Words>
  <Characters>353</Characters>
  <Application>Microsoft Office Word</Application>
  <DocSecurity>0</DocSecurity>
  <Lines>2</Lines>
  <Paragraphs>1</Paragraphs>
  <ScaleCrop>false</ScaleCrop>
  <HeadingPairs>
    <vt:vector size="4" baseType="variant">
      <vt:variant>
        <vt:lpstr>标题</vt:lpstr>
      </vt:variant>
      <vt:variant>
        <vt:i4>1</vt:i4>
      </vt:variant>
      <vt:variant>
        <vt:lpstr>Headings</vt:lpstr>
      </vt:variant>
      <vt:variant>
        <vt:i4>5</vt:i4>
      </vt:variant>
    </vt:vector>
  </HeadingPairs>
  <TitlesOfParts>
    <vt:vector size="6" baseType="lpstr">
      <vt:lpstr/>
      <vt:lpstr>        (2017年3月15日第十二届全国人民代表大会第五次会议通过) </vt:lpstr>
      <vt:lpstr>    第一章 基本规定</vt:lpstr>
      <vt:lpstr>第二编 审判程序 </vt:lpstr>
      <vt:lpstr>    第二章 自然人 </vt:lpstr>
      <vt:lpstr>        第一节 民事权利能力和民事行为能力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郑玮</dc:creator>
  <cp:keywords/>
  <dc:description/>
  <cp:lastModifiedBy>陈瑶星</cp:lastModifiedBy>
  <cp:revision>44</cp:revision>
  <dcterms:created xsi:type="dcterms:W3CDTF">2017-10-10T03:02:00Z</dcterms:created>
  <dcterms:modified xsi:type="dcterms:W3CDTF">2020-07-08T02:32:00Z</dcterms:modified>
</cp:coreProperties>
</file>