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9505A2" w:rsidP="00B22CD4">
      <w:pPr>
        <w:spacing w:before="211" w:afterLines="100" w:after="423"/>
        <w:ind w:firstLineChars="0" w:firstLine="0"/>
        <w:jc w:val="center"/>
        <w:rPr>
          <w:rFonts w:ascii="宋体" w:eastAsia="宋体" w:hAnsi="宋体"/>
          <w:b/>
          <w:sz w:val="32"/>
          <w:szCs w:val="32"/>
        </w:rPr>
      </w:pPr>
      <w:hyperlink r:id="rId8" w:history="1">
        <w:r w:rsidR="007911E7" w:rsidRPr="007F07FF">
          <w:rPr>
            <w:rFonts w:ascii="方正小标宋_GBK" w:eastAsia="方正小标宋_GBK" w:hAnsi="方正小标宋_GBK" w:cs="方正小标宋_GBK" w:hint="eastAsia"/>
            <w:color w:val="000000"/>
            <w:w w:val="97"/>
            <w:kern w:val="2"/>
            <w:sz w:val="42"/>
            <w:szCs w:val="42"/>
          </w:rPr>
          <w:t>最高人民法院关于印发《全国法院民商事审判工作会议纪要》的通知</w:t>
        </w:r>
      </w:hyperlink>
    </w:p>
    <w:p w14:paraId="1CE78CBD" w14:textId="47680A98" w:rsidR="00E07A1C" w:rsidRPr="007F07FF" w:rsidRDefault="00E07A1C"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时效性</w:t>
      </w:r>
      <w:r w:rsidR="007F07FF">
        <w:rPr>
          <w:rFonts w:ascii="宋体" w:eastAsia="宋体" w:hAnsi="宋体" w:cs="Times New Roman" w:hint="eastAsia"/>
          <w:b/>
          <w:bCs/>
          <w:color w:val="000000"/>
          <w:kern w:val="2"/>
          <w:sz w:val="24"/>
          <w:szCs w:val="20"/>
        </w:rPr>
        <w:t>：</w:t>
      </w:r>
      <w:r w:rsidR="00983AF9" w:rsidRPr="007F07FF">
        <w:rPr>
          <w:rFonts w:ascii="宋体" w:eastAsia="宋体" w:hAnsi="宋体" w:cs="Times New Roman"/>
          <w:color w:val="000000"/>
          <w:kern w:val="2"/>
          <w:sz w:val="24"/>
          <w:szCs w:val="20"/>
        </w:rPr>
        <w:t>现行有效</w:t>
      </w:r>
    </w:p>
    <w:p w14:paraId="628E1286" w14:textId="15409BE9" w:rsidR="00E07A1C" w:rsidRPr="007F07FF" w:rsidRDefault="00E07A1C"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发文机关</w:t>
      </w:r>
      <w:r w:rsidR="007F07FF">
        <w:rPr>
          <w:rFonts w:ascii="宋体" w:eastAsia="宋体" w:hAnsi="宋体" w:cs="Times New Roman" w:hint="eastAsia"/>
          <w:b/>
          <w:bCs/>
          <w:color w:val="000000"/>
          <w:kern w:val="2"/>
          <w:sz w:val="24"/>
          <w:szCs w:val="20"/>
        </w:rPr>
        <w:t>：</w:t>
      </w:r>
      <w:r w:rsidR="00EE2355" w:rsidRPr="007F07FF">
        <w:rPr>
          <w:rFonts w:ascii="宋体" w:eastAsia="宋体" w:hAnsi="宋体" w:cs="Times New Roman"/>
          <w:color w:val="000000"/>
          <w:kern w:val="2"/>
          <w:sz w:val="24"/>
          <w:szCs w:val="20"/>
        </w:rPr>
        <w:t>最高人民法院</w:t>
      </w:r>
    </w:p>
    <w:p w14:paraId="7045121C" w14:textId="166D33BE" w:rsidR="00E07A1C" w:rsidRPr="007F07FF" w:rsidRDefault="00E07A1C"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文号</w:t>
      </w:r>
      <w:r w:rsidR="007F07FF">
        <w:rPr>
          <w:rFonts w:ascii="宋体" w:eastAsia="宋体" w:hAnsi="宋体" w:cs="Times New Roman" w:hint="eastAsia"/>
          <w:b/>
          <w:bCs/>
          <w:color w:val="000000"/>
          <w:kern w:val="2"/>
          <w:sz w:val="24"/>
          <w:szCs w:val="20"/>
        </w:rPr>
        <w:t>：</w:t>
      </w:r>
      <w:r w:rsidR="00EE2355" w:rsidRPr="007F07FF">
        <w:rPr>
          <w:rFonts w:ascii="宋体" w:eastAsia="宋体" w:hAnsi="宋体" w:cs="Times New Roman"/>
          <w:color w:val="000000"/>
          <w:kern w:val="2"/>
          <w:sz w:val="24"/>
          <w:szCs w:val="20"/>
        </w:rPr>
        <w:t>法〔2019〕254号</w:t>
      </w:r>
    </w:p>
    <w:p w14:paraId="0FC477C9" w14:textId="60486168" w:rsidR="00E07A1C" w:rsidRPr="007F07FF" w:rsidRDefault="00E07A1C"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发文日期</w:t>
      </w:r>
      <w:r w:rsidR="007F07FF">
        <w:rPr>
          <w:rFonts w:ascii="宋体" w:eastAsia="宋体" w:hAnsi="宋体" w:cs="Times New Roman" w:hint="eastAsia"/>
          <w:b/>
          <w:bCs/>
          <w:color w:val="000000"/>
          <w:kern w:val="2"/>
          <w:sz w:val="24"/>
          <w:szCs w:val="20"/>
        </w:rPr>
        <w:t>：</w:t>
      </w:r>
      <w:r w:rsidR="00EE2355" w:rsidRPr="007F07FF">
        <w:rPr>
          <w:rFonts w:ascii="宋体" w:eastAsia="宋体" w:hAnsi="宋体" w:cs="Times New Roman"/>
          <w:color w:val="000000"/>
          <w:kern w:val="2"/>
          <w:sz w:val="24"/>
          <w:szCs w:val="20"/>
        </w:rPr>
        <w:t>2019年11月08日</w:t>
      </w:r>
    </w:p>
    <w:p w14:paraId="7F3400E7" w14:textId="17FBF80D" w:rsidR="00E07A1C" w:rsidRPr="007F07FF" w:rsidRDefault="00E07A1C"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施行日期</w:t>
      </w:r>
      <w:r w:rsidR="007F07FF">
        <w:rPr>
          <w:rFonts w:ascii="宋体" w:eastAsia="宋体" w:hAnsi="宋体" w:cs="Times New Roman" w:hint="eastAsia"/>
          <w:b/>
          <w:bCs/>
          <w:color w:val="000000"/>
          <w:kern w:val="2"/>
          <w:sz w:val="24"/>
          <w:szCs w:val="20"/>
        </w:rPr>
        <w:t>：</w:t>
      </w:r>
      <w:r w:rsidR="00EE2355" w:rsidRPr="007F07FF">
        <w:rPr>
          <w:rFonts w:ascii="宋体" w:eastAsia="宋体" w:hAnsi="宋体" w:cs="Times New Roman"/>
          <w:color w:val="000000"/>
          <w:kern w:val="2"/>
          <w:sz w:val="24"/>
          <w:szCs w:val="20"/>
        </w:rPr>
        <w:t>2019年11月08日</w:t>
      </w:r>
    </w:p>
    <w:p w14:paraId="17D9BCF4" w14:textId="77777777" w:rsidR="00AD59E4" w:rsidRPr="00D05BC5" w:rsidRDefault="009505A2">
      <w:pPr>
        <w:spacing w:before="211" w:afterLines="50" w:after="211"/>
        <w:ind w:firstLine="560"/>
        <w:rPr>
          <w:rFonts w:cs="DengXian"/>
          <w:color w:val="000000"/>
          <w:sz w:val="28"/>
        </w:rPr>
      </w:pPr>
    </w:p>
    <w:p w14:paraId="08E1E112" w14:textId="79CF7905" w:rsidR="007911E7" w:rsidRPr="007F07FF" w:rsidRDefault="007911E7" w:rsidP="007F07FF">
      <w:pPr>
        <w:spacing w:beforeLines="0" w:before="0"/>
        <w:ind w:firstLineChars="0" w:firstLine="0"/>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各省、自治区、直辖市高级人民法院,解放军军事法院,新疆维吾尔自治区高级人民法院生产建设兵团分院:</w:t>
      </w:r>
    </w:p>
    <w:p w14:paraId="0913A88A"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全国法院民商事审判工作会议纪要》(以下简称《会议纪要》)已于2019年9月11日经最高人民法院审判委员会民事行政专业委员会第319次会议原则通过。为便于进一步学习领会和正确适用《会议纪要》,特作如下通知:</w:t>
      </w:r>
    </w:p>
    <w:p w14:paraId="52356B1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一、充分认识《会议纪要》出台的意义</w:t>
      </w:r>
    </w:p>
    <w:p w14:paraId="665AD4C1"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纪要》针对民商事审判中的前沿疑难争议问题,在广泛征求各方面意见的基础上,经最高人民法院审判委员会民事行政专业委员会讨论决定。《会议纪要》的出台,对统一裁判思路,规范法官自由裁量权,增强民商事审判的公开性、透明度以及可预期性,提高司法公信力具有重要意义。各级人民法院要正确把握和理解适用《会议纪要》的精神实质和基本内容。</w:t>
      </w:r>
    </w:p>
    <w:p w14:paraId="45A0EA2C"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二、及时组织学习培训</w:t>
      </w:r>
    </w:p>
    <w:p w14:paraId="49446FB4"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为使各级人民法院尽快准确理解掌握《会议纪要》的内涵,在案件审理中正确理解适用,各级人民法院要在妥善处理好工学关系的前提下,通过多种形式组织学习培训,做好宣传工作。</w:t>
      </w:r>
    </w:p>
    <w:p w14:paraId="617E1E6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三、准确把握《会议纪要》的应用范围</w:t>
      </w:r>
    </w:p>
    <w:p w14:paraId="3E62848E"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纪要不是司法解释,不能作为裁判依据进行援引。《会议纪要》发布后,人民法院尚未审结的一审、二审案件,在裁判文书“本院认为”部分具体分析法律适用的理由时,可以根据《会议纪要》的相关规定进行说理。</w:t>
      </w:r>
    </w:p>
    <w:p w14:paraId="64841B91"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对于适用中存在的问题,请层报最高人民法院。</w:t>
      </w:r>
    </w:p>
    <w:p w14:paraId="3B227DAA"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right"/>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最高人民法院</w:t>
      </w:r>
    </w:p>
    <w:p w14:paraId="353BC37E"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right"/>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2019年11月8日</w:t>
      </w:r>
    </w:p>
    <w:p w14:paraId="50C77F5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Chars="49" w:firstLine="199"/>
        <w:jc w:val="center"/>
        <w:rPr>
          <w:rFonts w:ascii="方正小标宋_GBK" w:eastAsia="方正小标宋_GBK" w:hAnsi="方正小标宋_GBK" w:cs="方正小标宋_GBK"/>
          <w:color w:val="000000"/>
          <w:w w:val="97"/>
          <w:kern w:val="2"/>
          <w:sz w:val="42"/>
          <w:szCs w:val="42"/>
        </w:rPr>
      </w:pPr>
      <w:r w:rsidRPr="007F07FF">
        <w:rPr>
          <w:rFonts w:ascii="方正小标宋_GBK" w:eastAsia="方正小标宋_GBK" w:hAnsi="方正小标宋_GBK" w:cs="方正小标宋_GBK"/>
          <w:color w:val="000000"/>
          <w:w w:val="97"/>
          <w:kern w:val="2"/>
          <w:sz w:val="42"/>
          <w:szCs w:val="42"/>
        </w:rPr>
        <w:lastRenderedPageBreak/>
        <w:t>全国法院民商事审判工作会议纪要</w:t>
      </w:r>
    </w:p>
    <w:p w14:paraId="106DA3F2" w14:textId="77777777" w:rsidR="007911E7" w:rsidRPr="007F07FF" w:rsidRDefault="007911E7" w:rsidP="007F07FF">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7F07FF">
        <w:rPr>
          <w:rFonts w:ascii="黑体" w:eastAsia="黑体" w:hAnsi="黑体" w:cs="黑体"/>
          <w:color w:val="000000"/>
          <w:kern w:val="2"/>
          <w:sz w:val="26"/>
          <w:szCs w:val="26"/>
        </w:rPr>
        <w:t>引言</w:t>
      </w:r>
    </w:p>
    <w:p w14:paraId="5937453E"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为全面贯彻党的十九大和十九届二中、三中全会以及中央经济工作会议、中央政法工作会议、全国金融工作会议精神,研究当前形势下如何进一步加强人民法院民商事审判工作,着力提升民商事审判工作能力和水平,为我国经济高质量发展提供更加有力的司法服务和保障,最高人民法院于2019年7月3日至4日在黑龙江省哈尔滨市召开了全国法院民商事审判工作会议。最高人民法院党组书记、院长周强同志出席会议并讲话。各省、自治区、直辖市高级人民法院分管民商事审判工作的副院长、承担民商事案件审判任务的审判庭庭长、解放军军事法院的代表、最高人民法院有关部门负责人在主会场出席会议,地方各级人民法院的其他负责同志和民商事审判法官在各地分会场通过视频参加会议。中央政法委、全国人大常委会法工委的代表、部分全国人大代表、全国政协委员、最高人民法院特约监督员、专家学者应邀参加会议。</w:t>
      </w:r>
    </w:p>
    <w:p w14:paraId="38683C8E"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认为,民商事审判工作必须坚持正确的政治方向,必须以习近平新时代中国特色社会主义思想武装头脑、指导实践、推动工作。一要坚持党的绝对领导。这是中国特色社会主义司法制度的本质特征和根本要求,是人民法院永远不变的根和魂。在民商事审判工作中,要切实增强“四个意识”、坚定“四个自信”、做到“两个维护”,坚定不移走中国特色社会主义法治道路。二要坚持服务党和国家大局。认清形势,高度关注中国特色社会主义进入新时代背景下经济社会的重大变化、社会主要矛盾的历史性变化、各类风险隐患的多元多变,提高服务大局的自觉性、针对性,主动作为,勇于担当,处理好依法办案和服务大局的辩证关系,着眼于贯彻落实党中央的重大决策部署、维护人民群众的根本利益、维护法治的统一。三要坚持司法为民。牢固树立以人民为中心的发展思想,始终坚守人民立场,胸怀人民群众,满足人民需求,带着对人民群众的深厚感情和强烈责任感去做好民商事审判工作。在民商事审判工作中要弘扬社会主义核心价值观,注意情理法的交融平衡,做到以法为据、以理服人、以情感人,既要义正辞严讲清法理,又要循循善诱讲明事理,还要感同身受讲透情理,争取广大人民群众和社会的理解与支持。要建立健全方便人民群众诉讼的民商事审判工作机制。四要坚持公正司法。公平正义是中国特色社会主义制度的内在要求,也是我党治国理政的一贯主张。司法是维护社会公平正义的最后一道防线,必须把公平正义作为生命线,必须把公平正义作为镌刻在心中的价值坐标,必须把“努力让人民群众在每一个司法案件中感受到公平正义”作为矢志不渝的奋斗目标。</w:t>
      </w:r>
    </w:p>
    <w:p w14:paraId="11E7F60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指出,民商事审判工作要树立正确的审判理念。注意辩证理解并准确把握契约自由、平等保护、诚实信用、公序良俗等民商事审判基本原则;注意树立请求权基础思维、逻辑和价值相一致思维、同案同判思维,通过检索类案、参考指导案例等方式统一裁判尺度,有效防止滥用自由裁量权;注意处理好民商事审判与行政监管的关系,通过穿透式审判思维,查明当事人的</w:t>
      </w:r>
      <w:r w:rsidRPr="007F07FF">
        <w:rPr>
          <w:rFonts w:ascii="宋体" w:eastAsia="宋体" w:hAnsi="宋体" w:cs="Times New Roman"/>
          <w:color w:val="000000"/>
          <w:kern w:val="2"/>
          <w:sz w:val="24"/>
          <w:szCs w:val="20"/>
        </w:rPr>
        <w:lastRenderedPageBreak/>
        <w:t>真实意思,探求真实法律关系;特别注意外观主义系民商法上的学理概括,并非现行法律规定的原则,现行法律只是规定了体现外观主义的具体规则,如《物权法》第106条规定的善意取得,《合同法》第49条、《民法总则》第172条规定的表见代理,《合同法》第50条规定的越权代表,审判实务中应当依据有关具体法律规则进行判断,类推适用亦应当以法律规则设定的情形、条件为基础。从现行法律规则看,外观主义是为保护交易安全设置的例外规定,一般适用于因合理信赖权利外观或意思表示外观的交易行为。实际权利人与名义权利人的关系,应注重财产的实质归属,而不单纯地取决于公示外观。总之,审判实务中要准确把握外观主义的适用边界,避免泛化和滥用。</w:t>
      </w:r>
    </w:p>
    <w:p w14:paraId="0AD6D16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会议对当前民商事审判工作中的一些疑难法律问题取得了基本一致的看法,现纪要如下:</w:t>
      </w:r>
    </w:p>
    <w:p w14:paraId="6E2C01E1" w14:textId="77777777" w:rsidR="007911E7" w:rsidRPr="007F07FF" w:rsidRDefault="007911E7" w:rsidP="007F07FF">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7F07FF">
        <w:rPr>
          <w:rFonts w:ascii="黑体" w:eastAsia="黑体" w:hAnsi="黑体" w:cs="黑体"/>
          <w:color w:val="000000"/>
          <w:kern w:val="2"/>
          <w:sz w:val="26"/>
          <w:szCs w:val="26"/>
        </w:rPr>
        <w:t>一、关于民法总则适用的法律衔接</w:t>
      </w:r>
    </w:p>
    <w:p w14:paraId="29510E0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认为,民法总则施行后至民法典施行前,拟编入民法典但尚未完成修订的物权法、合同法等民商事基本法,以及不编入民法典的公司法、证券法、信托法、保险法、票据法等民商事特别法,均可能存在与民法总则规定不一致的情形。人民法院应当依照《立法法》第92条、《民法总则》第11条等规定,综合考虑新的规定优于旧的规定、特别规定优于一般规定等法律适用规则,依法处理好民法总则与相关法律的衔接问题,主要是处理好与民法通则、合同法、公司法的关系。</w:t>
      </w:r>
    </w:p>
    <w:p w14:paraId="3085933E"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民法总则与民法通则的关系及其适用】民法通则既规定了民法的一些基本制度和一般性规则,也规定了合同、所有权及其他财产权、知识产权、民事责任、涉外民事法律关系适用等具体内容。民法总则基本吸收了民法通则规定的基本制度和一般性规则,同时作了补充、完善和发展。民法通则规定的合同、所有权及其他财产权、民事责任等具体内容还需要在编撰民法典各分编时作进一步统筹,系统整合。因民法总则施行后暂不废止民法通则,在此之前,民法总则与民法通则规定不一致的,根据新的规定优于旧的规定的法律适用规则,适用民法总则的规定。最高人民法院已依据民法总则制定了关于诉讼时效问题的司法解释,而原依据民法通则制定的关于诉讼时效的司法解释,只要与民法总则不冲突,仍可适用。</w:t>
      </w:r>
    </w:p>
    <w:p w14:paraId="2594BF33"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2.</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民法总则与合同法的关系及其适用】根据民法典编撰工作“两步走”的安排,民法总则施行后,目前正在进行民法典的合同编、物权编等各分编的编撰工作。民法典施行后,合同法不再保留。在这之前,因民法总则施行前成立的合同发生的纠纷,原则上适用合同法的有关规定处理。因民法总则施行后成立的合同发生的纠纷,如果合同法“总则”对此的规定与民法总则的规定不一致的,根据新的规定优于旧的规定的法律适用规则,适用民法总则的规定。例如,关于欺诈、胁迫问题,根据合同法的规定,只有合同当事人之间存在欺诈、胁迫行为的,被欺诈、胁迫一方才享有撤销合同的权利。而依民法总则的规定,第三人实施的欺诈、胁迫行为,被欺诈、胁迫一方也有撤销合同的权利。另外,合同法视欺诈、胁迫行为所损害利益的不同,对合同</w:t>
      </w:r>
      <w:r w:rsidRPr="007F07FF">
        <w:rPr>
          <w:rFonts w:ascii="宋体" w:eastAsia="宋体" w:hAnsi="宋体" w:cs="Times New Roman"/>
          <w:color w:val="000000"/>
          <w:kern w:val="2"/>
          <w:sz w:val="24"/>
          <w:szCs w:val="20"/>
        </w:rPr>
        <w:lastRenderedPageBreak/>
        <w:t>效力作出了不同规定:损害合同当事人利益的,属于可撤销或者可变更合同;损害国家利益的,则属于无效合同。民法总则则未加区别,规定一律按可撤销合同对待。再如,关于显失公平问题,合同法将显失公平与乘人之危作为两类不同的可撤销或者可变更合同事由,而民法总则则将二者合并为一类可撤销合同事由。</w:t>
      </w:r>
    </w:p>
    <w:p w14:paraId="22A26534"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民法总则施行后发生的纠纷,在民法典施行前,如果合同法“分则”对此的规定与民法总则不一致的,根据特别规定优于一般规定的法律适用规则,适用合同法“分则”的规定。例如,民法总则仅规定了显名代理,没有规定《合同法》第402条的隐名代理和第403条的间接代理。在民法典施行前,这两条规定应当继续适用。</w:t>
      </w:r>
    </w:p>
    <w:p w14:paraId="5677BD06"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3.</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民法总则与公司法的关系及其适用】民法总则与公司法的关系,是一般法与商事特别法的关系。民法总则第三章“法人”第一节“一般规定”和第二节“营利法人”基本上是根据公司法的有关规定提炼的,二者的精神大体一致。因此,涉及民法总则这一部分的内容,规定一致的,适用民法总则或者公司法皆可;规定不一致的,根据《民法总则》第11条有关“其他法律对民事关系有特别规定的,依照其规定”的规定,原则上应当适用公司法的规定。但应当注意也有例外情况,主要表现在两个方面:一是就同一事项,民法总则制定时有意修正公司法有关条款的,应当适用民法总则的规定。例如,《公司法》第32条第3款规定:“公司应当将股东的姓名或者名称及其出资额向公司登记机关登记;登记事项发生变更的,应当办理变更登记。未经登记或者变更登记的,不得对抗第三人。”而《民法总则》第65条的规定则把“不得对抗第三人”修正为“不得对抗善意相对人”。经查询有关立法理由,可以认为,此种情况应当适用民法总则的规定。二是民法总则在公司法规定基础上增加了新内容的,如《公司法》第22条第2款就公司决议的撤销问题进行了规定,《民法总则》第85条在该条基础上增加规定:“但是营利法人依据该决议与善意相对人形成的民事法律关系不受影响。”此时,也应当适用民法总则的规定。</w:t>
      </w:r>
    </w:p>
    <w:p w14:paraId="4A9B838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4.</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民法总则的时间效力】根据“法不溯及既往”的原则,民法总则原则上没有溯及力,故只能适用于施行后发生的法律事实;民法总则施行前发生的法律事实,适用当时的法律;某一法律事实发生在民法总则施行前,其行为延续至民法总则施行后的,适用民法总则的规定。但要注意有例外情形,如虽然法律事实发生在民法总则施行前,但当时的法律对此没有规定而民法总则有规定的,例如,对于虚伪意思表示、第三人实施欺诈行为,合同法均无规定,发生纠纷后,基于“法官不得拒绝裁判”规则,可以将民法总则的相关规定作为裁判依据。又如,民法总则施行前成立的合同,根据当时的法律应当认定无效,而根据民法总则应当认定有效或者可撤销的,应当适用民法总则的规定。</w:t>
      </w:r>
    </w:p>
    <w:p w14:paraId="4B1248B5"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在民法总则无溯及力的场合,人民法院应当依据法律事实发生时的法律进行裁判,但如果法律事实发生时的法律虽有规定,但内容不具体、不明确的,如关于无权代理在被代理人不予追认时的法律后果,民法通则和合同法均规定由行为人承担民事责任,但对民事责任的性质和方式没有规定,而民法总则对此有明确且详细的规定,人民法院在审理案件时,就可以在裁判文书</w:t>
      </w:r>
      <w:r w:rsidRPr="007F07FF">
        <w:rPr>
          <w:rFonts w:ascii="宋体" w:eastAsia="宋体" w:hAnsi="宋体" w:cs="Times New Roman"/>
          <w:color w:val="000000"/>
          <w:kern w:val="2"/>
          <w:sz w:val="24"/>
          <w:szCs w:val="20"/>
        </w:rPr>
        <w:lastRenderedPageBreak/>
        <w:t>的说理部分将民法总则规定的内容作为解释法律事实发生时法律规定的参考。</w:t>
      </w:r>
    </w:p>
    <w:p w14:paraId="177C2019" w14:textId="77777777" w:rsidR="007911E7" w:rsidRPr="007F07FF" w:rsidRDefault="007911E7" w:rsidP="007F07FF">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7F07FF">
        <w:rPr>
          <w:rFonts w:ascii="黑体" w:eastAsia="黑体" w:hAnsi="黑体" w:cs="黑体"/>
          <w:color w:val="000000"/>
          <w:kern w:val="2"/>
          <w:sz w:val="26"/>
          <w:szCs w:val="26"/>
        </w:rPr>
        <w:t>二、关于公司纠纷案件的审理</w:t>
      </w:r>
    </w:p>
    <w:p w14:paraId="0FE8187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认为,审理好公司纠纷案件,对于保护交易安全和投资安全,激发经济活力,增强投资创业信心,具有重要意义。要依法协调好公司债权人、股东、公司等各种利益主体之间的关系,处理好公司外部与内部的关系,解决好公司自治与司法介入的关系。</w:t>
      </w:r>
    </w:p>
    <w:p w14:paraId="55FFDF6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(一)关于“对赌协议”的效力及履行</w:t>
      </w:r>
    </w:p>
    <w:p w14:paraId="542A5F83"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实践中俗称的“对赌协议”,又称估值调整协议,是指投资方与融资方在达成股权性融资协议时,为解决交易双方对目标公司未来发展的不确定性、信息不对称以及代理成本而设计的包含了股权回购、金钱补偿等对未来目标公司的估值进行调整的协议。从订立“对赌协议”的主体来看,有投资方与目标公司的股东或者实际控制人“对赌”、投资方与目标公司“对赌”、投资方与目标公司的股东、目标公司“对赌”等形式。人民法院在审理“对赌协议”纠纷案件时,不仅应当适用合同法的相关规定,还应当适用公司法的相关规定;既要坚持鼓励投资方对实体企业特别是科技创新企业投资原则,从而在一定程度上缓解企业融资难问题,又要贯彻资本维持原则和保护债权人合法权益原则,依法平衡投资方、公司债权人、公司之间的利益。对于投资方与目标公司的股东或者实际控制人订立的“对赌协议”,如无其他无效事由,认定有效并支持实际履行,实践中并无争议。但投资方与目标公司订立的“对赌协议”是否有效以及能否实际履行,存在争议。对此,应当把握如下处理规则:</w:t>
      </w:r>
    </w:p>
    <w:p w14:paraId="789F1069"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5.</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与目标公司“对赌”】投资方与目标公司订立的“对赌协议”在不存在法定无效事由的情况下,目标公司仅以存在股权回购或者金钱补偿约定为由,主张“对赌协议”无效的,人民法院不予支持,但投资方主张实际履行的,人民法院应当审查是否符合公司法关于“股东不得抽逃出资”及股份回购的强制性规定,判决是否支持其诉讼请求。</w:t>
      </w:r>
    </w:p>
    <w:p w14:paraId="09457499"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投资方请求目标公司回购股权的,人民法院应当依据《公司法》第35条关于“股东不得抽逃出资”或者第142条关于股份回购的强制性规定进行审查。经审查,目标公司未完成减资程序的,人民法院应当驳回其诉讼请求。</w:t>
      </w:r>
    </w:p>
    <w:p w14:paraId="4896CD26"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投资方请求目标公司承担金钱补偿义务的,人民法院应当依据《公司法》第35条关于“股东不得抽逃出资”和第166条关于利润分配的强制性规定进行审查。经审查,目标公司没有利润或者虽有利润但不足以补偿投资方的,人民法院应当驳回或者部分支持其诉讼请求。今后目标公司有利润时,投资方还可以依据该事实另行提起诉讼。</w:t>
      </w:r>
    </w:p>
    <w:p w14:paraId="5C491427"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(二)关于股东出资加速到期及表决权</w:t>
      </w:r>
    </w:p>
    <w:p w14:paraId="7A9704D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6.</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股东出资应否加速到期】在注册资本认缴制下,股东依法享有期限利益。债权人以公司不能清偿到期债务为由,请求未届出资期限的股东在未出资范围内对公司不能清偿的债务承担补充赔偿责任的,人民法院不予支持。但是,下列情形除外:</w:t>
      </w:r>
    </w:p>
    <w:p w14:paraId="0EA1A2CC"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lastRenderedPageBreak/>
        <w:t>(1)公司作为被执行人的案件,人民法院穷尽执行措施无财产可供执行,已具备破产原因,但不申请破产的;</w:t>
      </w:r>
    </w:p>
    <w:p w14:paraId="69EF14CB"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(2)在公司债务产生后,公司股东(大)会决议或以其他方式延长股东出资期限的。</w:t>
      </w:r>
    </w:p>
    <w:p w14:paraId="13FDA1CA"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7.</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表决权能否受限】股东认缴的出资未届履行期限,对未缴纳部分的出资是否享有以及如何行使表决权等问题,应当根据公司章程来确定。公司章程没有规定的,应当按照认缴出资的比例确定。如果股东(大)会作出不按认缴出资比例而按实际出资比例或者其他标准确定表决权的决议,股东请求确认决议无效的,人民法院应当审查该决议是否符合修改公司章程所要求的表决程序,即必须经代表三分之二以上表决权的股东通过。符合的,人民法院不予支持;反之,则依法予以支持。</w:t>
      </w:r>
    </w:p>
    <w:p w14:paraId="04348765"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(三)关于股权转让</w:t>
      </w:r>
    </w:p>
    <w:p w14:paraId="6E3AEC54"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8.</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有限责任公司的股权变动】当事人之间转让有限责任公司股权,受让人以其姓名或者名称已记载于股东名册为由主张其已经取得股权的,人民法院依法予以支持,但法律、行政法规规定应当办理批准手续生效的股权转让除外。未向公司登记机关办理股权变更登记的,不得对抗善意相对人。</w:t>
      </w:r>
    </w:p>
    <w:p w14:paraId="65894D05"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9.</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侵犯优先购买权的股权转让合同的效力】审判实践中,部分人民法院对公司法司法解释(四)第21条规定的理解存在偏差,往往以保护其他股东的优先购买权为由认定股权转让合同无效。准确理解该条规定,既要注意保护其他股东的优先购买权,也要注意保护股东以外的股权受让人的合法权益,正确认定有限责任公司的股东与股东以外的股权受让人订立的股权转让合同的效力。一方面,其他股东依法享有优先购买权,在其主张按照股权转让合同约定的同等条件购买股权的情况下,应当支持其诉讼请求,除非出现该条第1款规定的情形。另一方面,为保护股东以外的股权受让人的合法权益,股权转让合同如无其他影响合同效力的事由,应当认定有效。其他股东行使优先购买权的,虽然股东以外的股权受让人关于继续履行股权转让合同的请求不能得到支持,但不影响其依约请求转让股东承担相应的违约责任。</w:t>
      </w:r>
    </w:p>
    <w:p w14:paraId="5F5CB86B"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(四)关于公司人格否认</w:t>
      </w:r>
    </w:p>
    <w:p w14:paraId="031BC787"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公司人格独立和股东有限责任是公司法的基本原则。否认公司独立人格,由滥用公司法人独立地位和股东有限责任的股东对公司债务承担连带责任,是股东有限责任的例外情形,旨在矫正有限责任制度在特定法律事实发生时对债权人保护的失衡现象。在审判实践中,要准确把握《公司法》第20条第3款规定的精神。一是只有在股东实施了滥用公司法人独立地位及股东有限责任的行为,且该行为严重损害了公司债权人利益的情况下,才能适用。损害债权人利益,主要是指股东滥用权利使公司财产不足以清偿公司债权人的债权。二是只有实施了滥用法人独立地位和股东有限责任行为的股东才对公司债务承担连带清偿责任,而其他股东不应承担此责任。三是公司人格否认不是全面、彻底、永久地否定公司的法人资格,而只是在具体案件中依据特定的法律事实、法律关系,突破股东对公司债务不承担责任的一般规则,例外地判令其承担</w:t>
      </w:r>
      <w:r w:rsidRPr="007F07FF">
        <w:rPr>
          <w:rFonts w:ascii="宋体" w:eastAsia="宋体" w:hAnsi="宋体" w:cs="Times New Roman"/>
          <w:color w:val="000000"/>
          <w:kern w:val="2"/>
          <w:sz w:val="24"/>
          <w:szCs w:val="20"/>
        </w:rPr>
        <w:lastRenderedPageBreak/>
        <w:t>连带责任。人民法院在个案中否认公司人格的判决的既判力仅仅约束该诉讼的各方当事人,不当然适用于涉及该公司的其他诉讼,不影响公司独立法人资格的存续。如果其他债权人提起公司人格否认诉讼,已生效判决认定的事实可以作为证据使用。四是《公司法》第20条第3款规定的滥用行为,实践中常见的情形有人格混同、过度支配与控制、资本显著不足等。在审理案件时,需要根据查明的案件事实进行综合判断,既审慎适用,又当用则用。实践中存在标准把握不严而滥用这一例外制度的现象,同时也存在因法律规定较为原则、抽象,适用难度大,而不善于适用、不敢于适用的现象,均应当引起高度重视。</w:t>
      </w:r>
    </w:p>
    <w:p w14:paraId="5BC233AC"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10.</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人格混同】认定公司人格与股东人格是否存在混同,最根本的判断标准是公司是否具有独立意思和独立财产,最主要的表现是公司的财产与股东的财产是否混同且无法区分。在认定是否构成人格混同时,应当综合考虑以下因素:</w:t>
      </w:r>
    </w:p>
    <w:p w14:paraId="44453F14"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(1)股东无偿使用公司资金或者财产,不作财务记载的;</w:t>
      </w:r>
    </w:p>
    <w:p w14:paraId="2F91BAD5"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(2)股东用公司的资金偿还股东的债务,或者将公司的资金供关联公司无偿使用,不作财务记载的;</w:t>
      </w:r>
    </w:p>
    <w:p w14:paraId="04B94BAF"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(3)公司账簿与股东账簿不分,致使公司财产与股东财产无法区分的;</w:t>
      </w:r>
    </w:p>
    <w:p w14:paraId="539924EE"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(4)股东自身收益与公司盈利不加区分,致使双方利益不清的;</w:t>
      </w:r>
    </w:p>
    <w:p w14:paraId="352AACAE"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(5)公司的财产记载于股东名下,由股东占有、使用的;</w:t>
      </w:r>
    </w:p>
    <w:p w14:paraId="412F7078"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(6)人格混同的其他情形。</w:t>
      </w:r>
    </w:p>
    <w:p w14:paraId="53FA7C97"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在出现人格混同的情况下,往往同时出现以下混同:公司业务和股东业务混同;公司员工与股东员工混同,特别是财务人员混同;公司住所与股东住所混同。人民法院在审理案件时,关键要审查是否构成人格混同,而不要求同时具备其他方面的混同,其他方面的混同往往只是人格混同的补强。</w:t>
      </w:r>
    </w:p>
    <w:p w14:paraId="4B8A944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11.</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过度支配与控制】公司控制股东对公司过度支配与控制,操纵公司的决策过程,使公司完全丧失独立性,沦为控制股东的工具或躯壳,严重损害公司债权人利益,应当否认公司人格,由滥用控制权的股东对公司债务承担连带责任。实践中常见的情形包括:</w:t>
      </w:r>
    </w:p>
    <w:p w14:paraId="1E6674EE"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(1)母子公司之间或者子公司之间进行利益输送的;</w:t>
      </w:r>
    </w:p>
    <w:p w14:paraId="5BA096D7"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(2)母子公司或者子公司之间进行交易,收益归一方,损失却由另一方承担的;</w:t>
      </w:r>
    </w:p>
    <w:p w14:paraId="3AC7A1C7"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(3)先从原公司抽走资金,然后再成立经营目的相同或者类似的公司,逃避原公司债务的;</w:t>
      </w:r>
    </w:p>
    <w:p w14:paraId="179629CF"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(4)先解散公司,再以原公司场所、设备、人员及相同或者相似的经营目的另设公司,逃避原公司债务的;</w:t>
      </w:r>
    </w:p>
    <w:p w14:paraId="76CEADDB"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(5)过度支配与控制的其他情形。</w:t>
      </w:r>
    </w:p>
    <w:p w14:paraId="71F0AB95"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控制股东或实际控制人控制多个子公司或者关联公司,滥用控制权使多个子公司或者关联公司财产边界不清、财务混同,利益相互输送,丧失人格独立性,沦为控制股东逃避债务、非法经营,甚至违法犯罪工具的,可以综合案件事实,否认子公司或者关联公司法人人格,判令承担</w:t>
      </w:r>
      <w:r w:rsidRPr="007F07FF">
        <w:rPr>
          <w:rFonts w:ascii="宋体" w:eastAsia="宋体" w:hAnsi="宋体" w:cs="Times New Roman"/>
          <w:color w:val="000000"/>
          <w:kern w:val="2"/>
          <w:sz w:val="24"/>
          <w:szCs w:val="20"/>
        </w:rPr>
        <w:lastRenderedPageBreak/>
        <w:t>连带责任。</w:t>
      </w:r>
    </w:p>
    <w:p w14:paraId="38F36B3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12.</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资本显著不足】资本显著不足指的是,公司设立后在经营过程中,股东实际投入公司的资本数额与公司经营所隐含的风险相比明显不匹配。股东利用较少资本从事力所不及的经营,表明其没有从事公司经营的诚意,实质是恶意利用公司独立人格和股东有限责任把投资风险转嫁给债权人。由于资本显著不足的判断标准有很大的模糊性,特别是要与公司采取“以小博大”的正常经营方式相区分,因此在适用时要十分谨慎,应当与其他因素结合起来综合判断。</w:t>
      </w:r>
    </w:p>
    <w:p w14:paraId="6D65E39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13.</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【诉讼地位】人民法院在审理公司人格否认纠纷案件时,应当根据不同情形确定当事人的诉讼地位:</w:t>
      </w:r>
    </w:p>
    <w:p w14:paraId="78D90F4A"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(1)债权人对债务人公司享有的债权已经由生效裁判确认,其另行提起公司人格否认诉讼,请求股东对公司债务承担连带责任的,列股东为被告,公司为第三人;</w:t>
      </w:r>
    </w:p>
    <w:p w14:paraId="3A2C7867"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(2)债权人对债务人公司享有的债权提起诉讼的同时,一并提起公司人格否认诉讼,请求股东对公司债务承担连带责任的,列公司和股东为共同被告;</w:t>
      </w:r>
    </w:p>
    <w:p w14:paraId="5713DE42"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(3)债权人对债务人公司享有的债权尚未经生效裁判确认,直接提起公司人格否认诉讼,请求公司股东对公司债务承担连带责任的,人民法院应当向债权人释明,告知其追加公司为共同被告。债权人拒绝追加的,人民法院应当裁定驳回起诉。</w:t>
      </w:r>
    </w:p>
    <w:p w14:paraId="304277D3"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(五)关于有限责任公司清算义务人的责任</w:t>
      </w:r>
    </w:p>
    <w:p w14:paraId="00FB9812"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关于有限责任公司股东清算责任的认定,一些案件的处理结果不适当地扩大了股东的清算责任。特别是实践中出现了一些职业债权人,从其他债权人处大批量超低价收购僵尸企业的“陈年旧账”后,对批量僵尸企业提起强制清算之诉,在获得人民法院对公司主要财产、账册、重要文件等灭失的认定后,根据公司法司法解释(二)第18条第2款的规定,请求有限责任公司的股东对公司债务承担连带清偿责任。有的人民法院没有准确把握上述规定的适用条件,判决没有“怠于履行义务”的小股东或者虽“怠于履行义务”但与公司主要财产、账册、重要文件等灭失没有因果关系的小股东对公司债务承担远远超过其出资数额的责任,导致出现利益明显失衡的现象。需要明确的是,上述司法解释关于有限责任公司股东清算责任的规定,其性质是因股东怠于履行清算义务致使公司无法清算所应当承担的侵权责任。在认定有限责任公司股东是否应当对债权人承担侵权赔偿责任时,应当注意以下问题:</w:t>
      </w:r>
    </w:p>
    <w:p w14:paraId="4F05A9C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14.</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怠于履行清算义务的认定】公司法司法解释(二)第18条第2款规定的“怠于履行义务”,是指有限责任公司的股东在法定清算事由出现后,在能够履行清算义务的情况下,故意拖延、拒绝履行清算义务,或者因过失导致无法进行清算的消极行为。股东举证证明其已经为履行清算义务采取了积极措施,或者小股东举证证明其既不是公司董事会或者监事会成员,也没有选派人员担任该机关成员,且从未参与公司经营管理,以不构成“怠于履行义务”为由,主张其不应当对公司债务承担连带清偿责任的,人民法院依法予以支持。</w:t>
      </w:r>
    </w:p>
    <w:p w14:paraId="274F1CD3"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15.</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【因果关系抗辩】有限责任公司的股东举证证明其“怠于履行义务”的消极不作为</w:t>
      </w:r>
      <w:r w:rsidRPr="007F07FF">
        <w:rPr>
          <w:rFonts w:ascii="宋体" w:eastAsia="宋体" w:hAnsi="宋体" w:cs="Times New Roman"/>
          <w:color w:val="000000"/>
          <w:kern w:val="2"/>
          <w:sz w:val="24"/>
          <w:szCs w:val="20"/>
        </w:rPr>
        <w:lastRenderedPageBreak/>
        <w:t>与“公司主要财产、账册、重要文件等灭失,无法进行清算”的结果之间没有因果关系,主张其不应对公司债务承担连带清偿责任的,人民法院依法予以支持。</w:t>
      </w:r>
    </w:p>
    <w:p w14:paraId="21118E51"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16.</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【诉讼时效期间】公司债权人请求股东对公司债务承担连带清偿责任,股东以公司债权人对公司的债权已经超过诉讼时效期间为由抗辩,经查证属实的,人民法院依法予以支持。</w:t>
      </w:r>
    </w:p>
    <w:p w14:paraId="398D6DBA"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公司债权人以公司法司法解释(二)第18条第2款为依据,请求有限责任公司的股东对公司债务承担连带清偿责任的,诉讼时效期间自公司债权人知道或者应当知道公司无法进行清算之日起计算。</w:t>
      </w:r>
    </w:p>
    <w:p w14:paraId="01B74A2C"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(六)关于公司为他人提供担保</w:t>
      </w:r>
    </w:p>
    <w:p w14:paraId="6FA5260A"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关于公司为他人提供担保的合同效力问题,审判实践中裁判尺度不统一,严重影响了司法公信力,有必要予以规范。对此,应当把握以下几点:</w:t>
      </w:r>
    </w:p>
    <w:p w14:paraId="2DB14659"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17.</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违反《公司法》第16条构成越权代表】为防止法定代表人随意代表公司为他人提供担保给公司造成损失,损害中小股东利益,《公司法》第16条对法定代表人的代表权进行了限制。根据该条规定,担保行为不是法定代表人所能单独决定的事项,而必须以公司股东(大)会、董事会等公司机关的决议作为授权的基础和来源。法定代表人未经授权擅自为他人提供担保的,构成越权代表,人民法院应当根据《合同法》第50条关于法定代表人越权代表的规定,区分订立合同时债权人是否善意分别认定合同效力:债权人善意的,合同有效;反之,合同无效。</w:t>
      </w:r>
    </w:p>
    <w:p w14:paraId="04E4805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18.</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善意的认定】前条所称的善意,是指债权人不知道或者不应当知道法定代表人超越权限订立担保合同。《公司法》第16条对关联担保和非关联担保的决议机关作出了区别规定,相应地,在善意的判断标准上也应当有所区别。一种情形是,为公司股东或者实际控制人提供关联担保,《公司法》第16条明确规定必须由股东(大)会决议,未经股东(大)会决议,构成越权代表。在此情况下,债权人主张担保合同有效,应当提供证据证明其在订立合同时对股东(大)会决议进行了审查,决议的表决程序符合《公司法》第16条的规定,即在排除被担保股东表决权的情况下,该项表决由出席会议的其他股东所持表决权的过半数通过,签字人员也符合公司章程的规定。另一种情形是,公司为公司股东或者实际控制人以外的人提供非关联担保,根据《公司法》第16条的规定,此时由公司章程规定是由董事会决议还是股东(大)会决议。无论章程是否对决议机关作出规定,也无论章程规定决议机关为董事会还是股东(大)会,根据《民法总则》第61条第3款关于“法人章程或者法人权力机构对法定代表人代表权的限制,不得对抗善意相对人”的规定,只要债权人能够证明其在订立担保合同时对董事会决议或者股东(大)会决议进行了审查,同意决议的人数及签字人员符合公司章程的规定,就应当认定其构成善意,但公司能够证明债权人明知公司章程对决议机关有明确规定的除外。</w:t>
      </w:r>
    </w:p>
    <w:p w14:paraId="4D1CC321"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债权人对公司机关决议内容的审查一般限于形式审查,只要求尽到必要的注意义务即可,标准不宜太过严苛。公司以机关决议系法定代表人伪造或者变造、决议程序违法、签章(名)不实、担保金额超过法定限额等事由抗辩债权人非善意的,人民法院一般不予支持。但是,公司有</w:t>
      </w:r>
      <w:r w:rsidRPr="007F07FF">
        <w:rPr>
          <w:rFonts w:ascii="宋体" w:eastAsia="宋体" w:hAnsi="宋体" w:cs="Times New Roman"/>
          <w:color w:val="000000"/>
          <w:kern w:val="2"/>
          <w:sz w:val="24"/>
          <w:szCs w:val="20"/>
        </w:rPr>
        <w:lastRenderedPageBreak/>
        <w:t>证据证明债权人明知决议系伪造或者变造的除外。</w:t>
      </w:r>
    </w:p>
    <w:p w14:paraId="637698E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19.</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【无须机关决议的例外情况】存在下列情形的,即便债权人知道或者应当知道没有公司机关决议,也应当认定担保合同符合公司的真实意思表示,合同有效:</w:t>
      </w:r>
    </w:p>
    <w:p w14:paraId="57D601C2"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(1)公司是以为他人提供担保为主营业务的担保公司,或者是开展保函业务的银行或者非银行金融机构;</w:t>
      </w:r>
    </w:p>
    <w:p w14:paraId="480E4FC2"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(2)公司为其直接或者间接控制的公司开展经营活动向债权人提供担保;</w:t>
      </w:r>
    </w:p>
    <w:p w14:paraId="6816AEF9"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(3)公司与主债务人之间存在相互担保等商业合作关系;</w:t>
      </w:r>
    </w:p>
    <w:p w14:paraId="49437D11"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(4)担保合同系由单独或者共同持有公司三分之二以上有表决权的股东签字同意。</w:t>
      </w:r>
    </w:p>
    <w:p w14:paraId="3D21E39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20.</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越权担保的民事责任】依据前述3条规定,担保合同有效,债权人请求公司承担担保责任的,人民法院依法予以支持;担保合同无效,债权人请求公司承担担保责任的,人民法院不予支持,但可以按照担保法及有关司法解释关于担保无效的规定处理。公司举证证明债权人明知法定代表人超越权限或者机关决议系伪造或者变造,债权人请求公司承担合同无效后的民事责任的,人民法院不予支持。</w:t>
      </w:r>
    </w:p>
    <w:p w14:paraId="58261A8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21.</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权利救济】法定代表人的越权担保行为给公司造成损失,公司请求法定代表人承担赔偿责任的,人民法院依法予以支持。公司没有提起诉讼,股东依据《公司法》第151条的规定请求法定代表人承担赔偿责任的,人民法院依法予以支持。</w:t>
      </w:r>
    </w:p>
    <w:p w14:paraId="48D5CAF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22.</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【上市公司为他人提供担保】债权人根据上市公司公开披露的关于担保事项已经董事会或者股东大会决议通过的信息订立的担保合同,人民法院应当认定有效。</w:t>
      </w:r>
    </w:p>
    <w:p w14:paraId="4CD78E70"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23.</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【债务加入准用担保规则】法定代表人以公司名义与债务人约定加入债务并通知债权人或者向债权人表示愿意加入债务,该约定的效力问题,参照本纪要关于公司为他人提供担保的有关规则处理。</w:t>
      </w:r>
    </w:p>
    <w:p w14:paraId="04804771"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(七)关于股东代表诉讼</w:t>
      </w:r>
    </w:p>
    <w:p w14:paraId="48416AF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24.</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【何时成为股东不影响起诉】股东提起股东代表诉讼,被告以行为发生时原告尚未成为公司股东为由抗辩该股东不是适格原告的,人民法院不予支持。</w:t>
      </w:r>
    </w:p>
    <w:p w14:paraId="10B1EA1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25.</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正确适用前置程序】根据《公司法》第151条的规定,股东提起代表诉讼的前置程序之一是,股东必须先书面请求公司有关机关向人民法院提起诉讼。一般情况下,股东没有履行该前置程序的,应当驳回起诉。但是,该项前置程序针对的是公司治理的一般情况,即在股东向公司有关机关提出书面申请之时,存在公司有关机关提起诉讼的可能性。如果查明的相关事实表明,根本不存在该种可能性的,人民法院不应当以原告未履行前置程序为由驳回起诉。</w:t>
      </w:r>
    </w:p>
    <w:p w14:paraId="146F269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26.</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股东代表诉讼的反诉】股东依据《公司法》第151条第3款的规定提起股东代表诉讼后,被告以原告股东恶意起诉侵犯其合法权益为由提起反诉的,人民法院应予受理。被告以公司在案涉纠纷中应当承担侵权或者违约等责任为由对公司提出的反诉,因不符合反诉的要件,人民法院应当裁定不予受理;已经受理的,裁定驳回起诉。</w:t>
      </w:r>
    </w:p>
    <w:p w14:paraId="07283059"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lastRenderedPageBreak/>
        <w:t>27.</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股东代表诉讼的调解】公司是股东代表诉讼的最终受益人,为避免因原告股东与被告通过调解损害公司利益,人民法院应当审查调解协议是否为公司的意思。只有在调解协议经公司股东(大)会、董事会决议通过后,人民法院才能出具调解书予以确认。至于具体决议机关,取决于公司章程的规定。公司章程没有规定的,人民法院应当认定公司股东(大)会为决议机关。</w:t>
      </w:r>
    </w:p>
    <w:p w14:paraId="2BD3705E"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(八)其他问题</w:t>
      </w:r>
    </w:p>
    <w:p w14:paraId="698A9C2A"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28.</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实际出资人显名的条件】实际出资人能够提供证据证明有限责任公司过半数的其他股东知道其实际出资的事实,且对其实际行使股东权利未曾提出异议的,对实际出资人提出的登记为公司股东的请求,人民法院依法予以支持。公司以实际出资人的请求不符合公司法司法解释(三)第24条的规定为由抗辩的,人民法院不予支持。</w:t>
      </w:r>
    </w:p>
    <w:p w14:paraId="0595E52E"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29.</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请求召开股东(大)会不可诉】公司召开股东(大)会本质上属于公司内部治理范围。股东请求判令公司召开股东(大)会的,人民法院应当告知其按照《公司法》第40条或者第101条规定的程序自行召开。股东坚持起诉的,人民法院应当裁定不予受理;已经受理的,裁定驳回起诉。</w:t>
      </w:r>
    </w:p>
    <w:p w14:paraId="6285DB18" w14:textId="77777777" w:rsidR="007911E7" w:rsidRPr="007F07FF" w:rsidRDefault="007911E7" w:rsidP="007F07FF">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7F07FF">
        <w:rPr>
          <w:rFonts w:ascii="黑体" w:eastAsia="黑体" w:hAnsi="黑体" w:cs="黑体"/>
          <w:color w:val="000000"/>
          <w:kern w:val="2"/>
          <w:sz w:val="26"/>
          <w:szCs w:val="26"/>
        </w:rPr>
        <w:t>三、关于合同纠纷案件的审理</w:t>
      </w:r>
    </w:p>
    <w:p w14:paraId="44330933"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认为,合同是市场化配置资源的主要方式,合同纠纷也是民商事纠纷的主要类型。人民法院在审理合同纠纷案件时,要坚持鼓励交易原则,充分尊重当事人的意思自治。要依法审慎认定合同效力。要根据诚实信用原则,合理解释合同条款、确定履行内容,合理确定当事人的权利义务关系,审慎适用合同解除制度,依法调整过高的违约金,强化对守约者诚信行为的保护力度,提高违法违约成本,促进诚信社会构建。</w:t>
      </w:r>
    </w:p>
    <w:p w14:paraId="74F4CF6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(一)关于合同效力</w:t>
      </w:r>
    </w:p>
    <w:p w14:paraId="6EC689F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人民法院在审理合同纠纷案件过程中,要依职权审查合同是否存在无效的情形,注意无效与可撤销、未生效、效力待定等合同效力形态之间的区别,准确认定合同效力,并根据效力的不同情形,结合当事人的诉讼请求,确定相应的民事责任。</w:t>
      </w:r>
    </w:p>
    <w:p w14:paraId="51A8F026"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30.</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强制性规定的识别】合同法施行后,针对一些人民法院动辄以违反法律、行政法规的强制性规定为由认定合同无效,不当扩大无效合同范围的情形,合同法司法解释(二)第14条将《合同法》第52条第5项规定的“强制性规定”明确限于“效力性强制性规定”。此后,《最高人民法院关于当前形势下审理民商事合同纠纷案件若干问题的指导意见》进一步提出了“管理性强制性规定”的概念,指出违反管理性强制性规定的,人民法院应当根据具体情形认定合同效力。随着这一概念的提出,审判实践中又出现了另一种倾向,有的人民法院认为凡是行政管理性质的强制性规定都属于“管理性强制性规定”,不影响合同效力。这种望文生义的认定方法,应予纠正。</w:t>
      </w:r>
    </w:p>
    <w:p w14:paraId="5911CD07"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人民法院在审理合同纠纷案件时,要依据《民法总则》第153条第1款和合同法司法解释(二)</w:t>
      </w:r>
      <w:r w:rsidRPr="007F07FF">
        <w:rPr>
          <w:rFonts w:ascii="宋体" w:eastAsia="宋体" w:hAnsi="宋体" w:cs="Times New Roman"/>
          <w:color w:val="000000"/>
          <w:kern w:val="2"/>
          <w:sz w:val="24"/>
          <w:szCs w:val="20"/>
        </w:rPr>
        <w:lastRenderedPageBreak/>
        <w:t>第14条的规定慎重判断“强制性规定”的性质,特别是要在考量强制性规定所保护的法益类型、违法行为的法律后果以及交易安全保护等因素的基础上认定其性质,并在裁判文书中充分说明理由。下列强制性规定,应当认定为“效力性强制性规定”:强制性规定涉及金融安全、市场秩序、国家宏观政策等公序良俗的;交易标的禁止买卖的,如禁止人体器官、毒品、枪支等买卖;违反特许经营规定的,如场外配资合同;交易方式严重违法的,如违反招投标等竞争性缔约方式订立的合同;交易场所违法的,如在批准的交易场所之外进行期货交易。关于经营范围、交易时间、交易数量等行政管理性质的强制性规定,一般应当认定为“管理性强制性规定”。</w:t>
      </w:r>
    </w:p>
    <w:p w14:paraId="1AF35C9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31.</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违反规章的合同效力】违反规章一般情况下不影响合同效力,但该规章的内容涉及金融安全、市场秩序、国家宏观政策等公序良俗的,应当认定合同无效。人民法院在认定规章是否涉及公序良俗时,要在考察规范对象基础上,兼顾监管强度、交易安全保护以及社会影响等方面进行慎重考量,并在裁判文书中进行充分说理。</w:t>
      </w:r>
    </w:p>
    <w:p w14:paraId="0534A910"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32.</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合同不成立、无效或者被撤销的法律后果】《合同法》第58条就合同无效或者被撤销时的财产返还责任和损害赔偿责任作了规定,但未规定合同不成立的法律后果。考虑到合同不成立时也可能发生财产返还和损害赔偿责任问题,故应当参照适用该条的规定。</w:t>
      </w:r>
    </w:p>
    <w:p w14:paraId="50467CDD"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在确定合同不成立、无效或者被撤销后财产返还或者折价补偿范围时,要根据诚实信用原则的要求,在当事人之间合理分配,不能使不诚信的当事人因合同不成立、无效或者被撤销而获益。合同不成立、无效或者被撤销情况下,当事人所承担的缔约过失责任不应超过合同履行利益。比如,依据《最高人民法院关于审理建设工程施工合同纠纷案件适用法律问题的解释》第2条规定,建设工程施工合同无效,在建设工程经竣工验收合格情况下,可以参照合同约定支付工程款,但除非增加了合同约定之外新的工程项目,一般不应超出合同约定支付工程款。</w:t>
      </w:r>
    </w:p>
    <w:p w14:paraId="3B311103"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33.</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财产返还与折价补偿】合同不成立、无效或者被撤销后,在确定财产返还时,要充分考虑财产增值或者贬值的因素。双务合同不成立、无效或者被撤销后,双方因该合同取得财产的,应当相互返还。应予返还的股权、房屋等财产相对于合同约定价款出现增值或者贬值的,人民法院要综合考虑市场因素、受让人的经营或者添附等行为与财产增值或者贬值之间的关联性,在当事人之间合理分配或者分担,避免一方因合同不成立、无效或者被撤销而获益。在标的物已经灭失、转售他人或者其他无法返还的情况下,当事人主张返还原物的,人民法院不予支持,但其主张折价补偿的,人民法院依法予以支持。折价时,应当以当事人交易时约定的价款为基础,同时考虑当事人在标的物灭失或者转售时的获益情况综合确定补偿标准。标的物灭失时当事人获得的保险金或者其他赔偿金,转售时取得的对价,均属于当事人因标的物而获得的利益。对获益高于或者低于价款的部分,也应当在当事人之间合理分配或者分担。</w:t>
      </w:r>
    </w:p>
    <w:p w14:paraId="64667B0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34.</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价款返还】双务合同不成立、无效或者被撤销时,标的物返还与价款返还互为对待给付,双方应当同时返还。关于应否支付利息问题,只要一方对标的物有使用情形的,一般应当支付使用费,该费用可与占有价款一方应当支付的资金占用费相互抵销,故在一方返还原物前,</w:t>
      </w:r>
      <w:r w:rsidRPr="007F07FF">
        <w:rPr>
          <w:rFonts w:ascii="宋体" w:eastAsia="宋体" w:hAnsi="宋体" w:cs="Times New Roman"/>
          <w:color w:val="000000"/>
          <w:kern w:val="2"/>
          <w:sz w:val="24"/>
          <w:szCs w:val="20"/>
        </w:rPr>
        <w:lastRenderedPageBreak/>
        <w:t>另一方仅须支付本金,而无须支付利息。</w:t>
      </w:r>
    </w:p>
    <w:p w14:paraId="4A8B8F31"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35.</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损害赔偿】合同不成立、无效或者被撤销时,仅返还财产或者折价补偿不足以弥补损失,一方还可以向有过错的另一方请求损害赔偿。在确定损害赔偿范围时,既要根据当事人的过错程度合理确定责任,又要考虑在确定财产返还范围时已经考虑过的财产增值或者贬值因素,避免双重获利或者双重受损的现象发生。</w:t>
      </w:r>
    </w:p>
    <w:p w14:paraId="67013319"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36.</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合同无效时的释明问题】在双务合同中,原告起诉请求确认合同有效并请求继续履行合同,被告主张合同无效的,或者原告起诉请求确认合同无效并返还财产,而被告主张合同有效的,都要防止机械适用“不告不理”原则,仅就当事人的诉讼请求进行审理,而应向原告释明变更或者增加诉讼请求,或者向被告释明提出同时履行抗辩,尽可能一次性解决纠纷。例如,基于合同有给付行为的原告请求确认合同无效,但并未提出返还原物或者折价补偿、赔偿损失等请求的,人民法院应当向其释明,告知其一并提出相应诉讼请求;原告请求确认合同无效并要求被告返还原物或者赔偿损失,被告基于合同也有给付行为的,人民法院同样应当向被告释明,告知其也可以提出返还请求;人民法院经审理认定合同无效的,除了要在判决书“本院认为”部分对同时返还作出认定外,还应当在判项中作出明确表述,避免因判令单方返还而出现不公平的结果。</w:t>
      </w:r>
    </w:p>
    <w:p w14:paraId="3412404B"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第一审人民法院未予释明,第二审人民法院认为应当对合同不成立、无效或者被撤销的法律后果作出判决的,可以直接释明并改判。当然,如果返还财产或者赔偿损失的范围确实难以确定或者双方争议较大的,也可以告知当事人通过另行起诉等方式解决,并在裁判文书中予以明确。</w:t>
      </w:r>
    </w:p>
    <w:p w14:paraId="3B393A8A"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当事人按照释明变更诉讼请求或者提出抗辩的,人民法院应当将其归纳为案件争议焦点,组织当事人充分举证、质证、辩论。</w:t>
      </w:r>
    </w:p>
    <w:p w14:paraId="1D8789F1"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37.</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未经批准合同的效力】法律、行政法规规定某类合同应当办理批准手续生效的,如商业银行法、证券法、保险法等法律规定购买商业银行、证券公司、保险公司5%以上股权须经相关主管部门批准,依据《合同法》第44条第2款的规定,批准是合同的法定生效条件,未经批准的合同因欠缺法律规定的特别生效条件而未生效。实践中的一个突出问题是,把未生效合同认定为无效合同,或者虽认定为未生效,却按无效合同处理。无效合同从本质上来说是欠缺合同的有效要件,或者具有合同无效的法定事由,自始不发生法律效力。而未生效合同已具备合同的有效要件,对双方具有一定的拘束力,任何一方不得擅自撤回、解除、变更,但因欠缺法律、行政法规规定或当事人约定的特别生效条件,在该生效条件成就前,不能产生请求对方履行合同主要权利义务的法律效力。</w:t>
      </w:r>
    </w:p>
    <w:p w14:paraId="73C392C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38.</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报批义务及相关违约条款独立生效】须经行政机关批准生效的合同,对报批义务及未履行报批义务的违约责任等相关内容作出专门约定的,该约定独立生效。一方因另一方不履行报批义务,请求解除合同并请求其承担合同约定的相应违约责任的,人民法院依法予以支持。</w:t>
      </w:r>
    </w:p>
    <w:p w14:paraId="30E3C1C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lastRenderedPageBreak/>
        <w:t>39.</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报批义务的释明】须经行政机关批准生效的合同,一方请求另一方履行合同主要权利义务的,人民法院应当向其释明,将诉讼请求变更为请求履行报批义务。一方变更诉讼请求的,人民法院依法予以支持;经释明后当事人拒绝变更的,应当驳回其诉讼请求,但不影响其另行提起诉讼。</w:t>
      </w:r>
    </w:p>
    <w:p w14:paraId="2C8DBA26"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40.</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判决履行报批义务后的处理】人民法院判决一方履行报批义务后,该当事人拒绝履行,经人民法院强制执行仍未履行,对方请求其承担合同违约责任的,人民法院依法予以支持。一方依据判决履行报批义务,行政机关予以批准,合同发生完全的法律效力,其请求对方履行合同的,人民法院依法予以支持;行政机关没有批准,合同不具有法律上的可履行性,一方请求解除合同的,人民法院依法予以支持。</w:t>
      </w:r>
    </w:p>
    <w:p w14:paraId="542B08E3"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41.</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盖章行为的法律效力】司法实践中,有些公司有意刻制两套甚至多套公章,有的法定代表人或者代理人甚至私刻公章,订立合同时恶意加盖非备案的公章或者假公章,发生纠纷后法人以加盖的是假公章为由否定合同效力的情形并不鲜见。人民法院在审理案件时,应当主要审查签约人于盖章之时有无代表权或者代理权,从而根据代表或者代理的相关规则来确定合同的效力。</w:t>
      </w:r>
    </w:p>
    <w:p w14:paraId="1200D871"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法定代表人或者其授权之人在合同上加盖法人公章的行为,表明其是以法人名义签订合同,除《公司法》第16条等法律对其职权有特别规定的情形外,应当由法人承担相应的法律后果。法人以法定代表人事后已无代表权、加盖的是假章、所盖之章与备案公章不一致等为由否定合同效力的,人民法院不予支持。</w:t>
      </w:r>
    </w:p>
    <w:p w14:paraId="457C10B6"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代理人以被代理人名义签订合同,要取得合法授权。代理人取得合法授权后,以被代理人名义签订的合同,应当由被代理人承担责任。被代理人以代理人事后已无代理权、加盖的是假章、所盖之章与备案公章不一致等为由否定合同效力的,人民法院不予支持。</w:t>
      </w:r>
    </w:p>
    <w:p w14:paraId="4399EFA8"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42.</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撤销权的行使】撤销权应当由当事人行使。当事人未请求撤销的,人民法院不应当依职权撤销合同。一方请求另一方履行合同,另一方以合同具有可撤销事由提出抗辩的,人民法院应当在审查合同是否具有可撤销事由以及是否超过法定期间等事实的基础上,对合同是否可撤销作出判断,不能仅以当事人未提起诉讼或者反诉为由不予审查或者不予支持。一方主张合同无效,依据的却是可撤销事由,此时人民法院应当全面审查合同是否具有无效事由以及当事人主张的可撤销事由。当事人关于合同无效的事由成立的,人民法院应当认定合同无效。当事人主张合同无效的理由不成立,而可撤销的事由成立的,因合同无效和可撤销的后果相同,人民法院也可以结合当事人的诉讼请求,直接判决撤销合同。</w:t>
      </w:r>
    </w:p>
    <w:p w14:paraId="038BDC32"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(二)关于合同履行与救济</w:t>
      </w:r>
    </w:p>
    <w:p w14:paraId="278B2DAD"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在认定以物抵债协议的性质和效力时,要根据订立协议时履行期限是否已经届满予以区别对待。合同解除、违约责任都是非违约方寻求救济的主要方式,人民法院在认定合同应否解除时,要根据当事人有无解除权、是约定解除还是法定解除等不同情形,分别予以处理。在确定违</w:t>
      </w:r>
      <w:r w:rsidRPr="007F07FF">
        <w:rPr>
          <w:rFonts w:ascii="宋体" w:eastAsia="宋体" w:hAnsi="宋体" w:cs="Times New Roman"/>
          <w:color w:val="000000"/>
          <w:kern w:val="2"/>
          <w:sz w:val="24"/>
          <w:szCs w:val="20"/>
        </w:rPr>
        <w:lastRenderedPageBreak/>
        <w:t>约责任时,尤其要注意依法适用违约金调整的相关规则,避免简单地以民间借贷利率的司法保护上限作为调整依据。</w:t>
      </w:r>
    </w:p>
    <w:p w14:paraId="21641294"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43.</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抵销】抵销权既可以通知的方式行使,也可以提出抗辩或者提起反诉的方式行使。抵销的意思表示自到达对方时生效,抵销一经生效,其效力溯及自抵销条件成就之时,双方互负的债务在同等数额内消灭。双方互负的债务数额,是截至抵销条件成就之时各自负有的包括主债务、利息、违约金、赔偿金等在内的全部债务数额。行使抵销权一方享有的债权不足以抵销全部债务数额,当事人对抵销顺序又没有特别约定的,应当根据实现债权的费用、利息、主债务的顺序进行抵销。</w:t>
      </w:r>
    </w:p>
    <w:p w14:paraId="17296B3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44.</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履行期届满后达成的以物抵债协议】当事人在债务履行期限届满后达成以物抵债协议,抵债物尚未交付债权人,债权人请求债务人交付的,人民法院要着重审查以物抵债协议是否存在恶意损害第三人合法权益等情形,避免虚假诉讼的发生。经审查,不存在以上情况,且无其他无效事由的,人民法院依法予以支持。</w:t>
      </w:r>
    </w:p>
    <w:p w14:paraId="2B03FB32"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当事人在一审程序中因达成以物抵债协议申请撤回起诉的,人民法院可予准许。当事人在二审程序中申请撤回上诉的,人民法院应当告知其申请撤回起诉。当事人申请撤回起诉,经审查不损害国家利益、社会公共利益、他人合法权益的,人民法院可予准许。当事人不申请撤回起诉,请求人民法院出具调解书对以物抵债协议予以确认的,因债务人完全可以立即履行该协议,没有必要由人民法院出具调解书,故人民法院不应准许,同时应当继续对原债权债务关系进行审理。</w:t>
      </w:r>
    </w:p>
    <w:p w14:paraId="52C8868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45.</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履行期届满前达成的以物抵债协议】当事人在债务履行期届满前达成以物抵债协议,抵债物尚未交付债权人,债权人请求债务人交付的,因此种情况不同于本纪要第71条规定的让与担保,人民法院应当向其释明,其应当根据原债权债务关系提起诉讼。经释明后当事人仍拒绝变更诉讼请求的,应当驳回其诉讼请求,但不影响其根据原债权债务关系另行提起诉讼。</w:t>
      </w:r>
    </w:p>
    <w:p w14:paraId="71DEC3C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46.</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通知解除的条件】审判实践中,部分人民法院对合同法司法解释(二)第24条的理解存在偏差,认为不论发出解除通知的一方有无解除权,只要另一方未在异议期限内以起诉方式提出异议,就判令解除合同,这不符合合同法关于合同解除权行使的有关规定。对该条的准确理解是,只有享有法定或者约定解除权的当事人才能以通知方式解除合同。不享有解除权的一方向另一方发出解除通知,另一方即便未在异议期限内提起诉讼,也不发生合同解除的效果。人民法院在审理案件时,应当审查发出解除通知的一方是否享有约定或者法定的解除权来决定合同应否解除,不能仅以受通知一方在约定或者法定的异议期限届满内未起诉这一事实就认定合同已经解除。</w:t>
      </w:r>
    </w:p>
    <w:p w14:paraId="0A0ACE5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47.</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约定解除条件】合同约定的解除条件成就时,守约方以此为由请求解除合同的,人民法院应当审查违约方的违约程度是否显著轻微,是否影响守约方合同目的实现,根据诚实信用原则,确定合同应否解除。违约方的违约程度显著轻微,不影响守约方合同目的实现,守约方</w:t>
      </w:r>
      <w:r w:rsidRPr="007F07FF">
        <w:rPr>
          <w:rFonts w:ascii="宋体" w:eastAsia="宋体" w:hAnsi="宋体" w:cs="Times New Roman"/>
          <w:color w:val="000000"/>
          <w:kern w:val="2"/>
          <w:sz w:val="24"/>
          <w:szCs w:val="20"/>
        </w:rPr>
        <w:lastRenderedPageBreak/>
        <w:t>请求解除合同的,人民法院不予支持;反之,则依法予以支持。</w:t>
      </w:r>
    </w:p>
    <w:p w14:paraId="5B99C57A"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48.</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违约方起诉解除】违约方不享有单方解除合同的权利。但是,在一些长期性合同如房屋租赁合同履行过程中,双方形成合同僵局,一概不允许违约方通过起诉的方式解除合同,有时对双方都不利。在此前提下,符合下列条件,违约方起诉请求解除合同的,人民法院依法予以支持:</w:t>
      </w:r>
    </w:p>
    <w:p w14:paraId="3539C12C"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(1)违约方不存在恶意违约的情形;</w:t>
      </w:r>
    </w:p>
    <w:p w14:paraId="03B48563"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(2)违约方继续履行合同,对其显失公平;</w:t>
      </w:r>
    </w:p>
    <w:p w14:paraId="3F6DD69F"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(3)守约方拒绝解除合同,违反诚实信用原则。</w:t>
      </w:r>
    </w:p>
    <w:p w14:paraId="73CF5951"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人民法院判决解除合同的,违约方本应当承担的违约责任不能因解除合同而减少或者免除。</w:t>
      </w:r>
    </w:p>
    <w:p w14:paraId="74A2642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49.</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【合同解除的法律后果】合同解除时,一方依据合同中有关违约金、约定损害赔偿的计算方法、定金责任等违约责任条款的约定,请求另一方承担违约责任的,人民法院依法予以支持。</w:t>
      </w:r>
    </w:p>
    <w:p w14:paraId="14E9CD9E"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双务合同解除时人民法院的释明问题,参照本纪要第36条的相关规定处理。</w:t>
      </w:r>
    </w:p>
    <w:p w14:paraId="6881F3F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50.</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违约金过高标准及举证责任】认定约定违约金是否过高,一般应当以《合同法》第113条规定的损失为基础进行判断,这里的损失包括合同履行后可以获得的利益。除借款合同外的双务合同,作为对价的价款或者报酬给付之债,并非借款合同项下的还款义务,不能以受法律保护的民间借贷利率上限作为判断违约金是否过高的标准,而应当兼顾合同履行情况、当事人过错程度以及预期利益等因素综合确定。主张违约金过高的违约方应当对违约金是否过高承担举证责任。</w:t>
      </w:r>
    </w:p>
    <w:p w14:paraId="5C788B0A"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(三)关于借款合同</w:t>
      </w:r>
    </w:p>
    <w:p w14:paraId="177AEFB4"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人民法院在审理借款合同纠纷案件过程中,要根据防范化解重大金融风险、金融服务实体经济、降低融资成本的精神,区别对待金融借贷与民间借贷,并适用不同规则与利率标准。要依法否定高利转贷行为、职业放贷行为的效力,充分发挥司法的示范、引导作用,促进金融服务实体经济。要注意到,为深化利率市场化改革,推动降低实体利率水平,自2019年8月20日起,中国人民银行已经授权全国银行间同业拆借中心于每月20日(遇节假日顺延)9时30分公布贷款市场报价利率(LPR),中国人民银行贷款基准利率这一标准已经取消。因此,自此之后人民法院裁判贷款利息的基本标准应改为全国银行间同业拆借中心公布的贷款市场报价利率。应予注意的是,贷款利率标准尽管发生了变化,但存款基准利率并未发生相应变化,相关标准仍可适用。</w:t>
      </w:r>
    </w:p>
    <w:p w14:paraId="624A8389"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51.</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变相利息的认定】金融借款合同纠纷中,借款人认为金融机构以服务费、咨询费、顾问费、管理费等为名变相收取利息,金融机构或者由其指定的人收取的相关费用不合理的,人民法院可以根据提供服务的实际情况确定借款人应否支付或者酌减相关费用。</w:t>
      </w:r>
    </w:p>
    <w:p w14:paraId="5FA512F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52.</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【高利转贷】民间借贷中,出借人的资金必须是自有资金。出借人套取金融机构信贷</w:t>
      </w:r>
      <w:r w:rsidRPr="007F07FF">
        <w:rPr>
          <w:rFonts w:ascii="宋体" w:eastAsia="宋体" w:hAnsi="宋体" w:cs="Times New Roman"/>
          <w:color w:val="000000"/>
          <w:kern w:val="2"/>
          <w:sz w:val="24"/>
          <w:szCs w:val="20"/>
        </w:rPr>
        <w:lastRenderedPageBreak/>
        <w:t>资金又高利转贷给借款人的民间借贷行为,既增加了融资成本,又扰乱了信贷秩序,根据民间借贷司法解释第14条第1项的规定,应当认定此类民间借贷行为无效。人民法院在适用该条规定时,应当注意把握以下几点:一是要审查出借人的资金来源。借款人能够举证证明在签订借款合同时出借人尚欠银行贷款未还的,一般可以推定为出借人套取信贷资金,但出借人能够举反证予以推翻的除外;二是从宽认定“高利”转贷行为的标准,只要出借人通过转贷行为牟利的,就可以认定为是“高利”转贷行为;三是对该条规定的“借款人事先知道或者应当知道的”要件,不宜把握过苛。实践中,只要出借人在签订借款合同时存在尚欠银行贷款未还事实的,一般可以认为满足了该条规定的“借款人事先知道或者应当知道”这一要件。</w:t>
      </w:r>
    </w:p>
    <w:p w14:paraId="5AD61CD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53.</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职业放贷人】未依法取得放贷资格的以民间借贷为业的法人,以及以民间借贷为业的非法人组织或者自然人从事的民间借贷行为,应当依法认定无效。同一出借人在一定期间内多次反复从事有偿民间借贷行为的,一般可以认定为是职业放贷人。民间借贷比较活跃的地方的高级人民法院或者经其授权的中级人民法院,可以根据本地区的实际情况制定具体的认定标准。</w:t>
      </w:r>
    </w:p>
    <w:p w14:paraId="631C84DF" w14:textId="77777777" w:rsidR="007911E7" w:rsidRPr="007F07FF" w:rsidRDefault="007911E7" w:rsidP="007F07FF">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7F07FF">
        <w:rPr>
          <w:rFonts w:ascii="黑体" w:eastAsia="黑体" w:hAnsi="黑体" w:cs="黑体"/>
          <w:color w:val="000000"/>
          <w:kern w:val="2"/>
          <w:sz w:val="26"/>
          <w:szCs w:val="26"/>
        </w:rPr>
        <w:t>四、关于担保纠纷案件的审理</w:t>
      </w:r>
    </w:p>
    <w:p w14:paraId="58223E05"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认为,要注意担保法及其司法解释与物权法对独立担保、混合担保、担保期间等有关制度的不同规定,根据新的规定优于旧的规定的法律适用规则,优先适用物权法的规定。从属性是担保的基本属性,要慎重认定独立担保行为的效力,将其严格限定在法律或者司法解释明确规定的情形。要根据区分原则,准确认定担保合同效力。要坚持物权法定、公示公信原则,区分不动产与动产担保物权在物权变动、效力规则等方面的异同,准确适用法律。要充分发挥担保对缓解融资难融资贵问题的积极作用,不轻易否定新类型担保、非典型担保的合同效力及担保功能。</w:t>
      </w:r>
    </w:p>
    <w:p w14:paraId="34B22BF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(一)关于担保的一般规则</w:t>
      </w:r>
    </w:p>
    <w:p w14:paraId="324CAC7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54.</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独立担保】从属性是担保的基本属性,但由银行或者非银行金融机构开立的独立保函除外。独立保函纠纷案件依据《最高人民法院关于审理独立保函纠纷案件若干问题的规定》处理。需要进一步明确的是:凡是由银行或者非银行金融机构开立的符合该司法解释第1条、第3条规定情形的保函,无论是用于国际商事交易还是用于国内商事交易,均不影响保函的效力。银行或者非银行金融机构之外的当事人开立的独立保函,以及当事人有关排除担保从属性的约定,应当认定无效。但是,根据“无效法律行为的转换”原理,在否定其独立担保效力的同时,应当将其认定为从属性担保。此时,如果主合同有效,则担保合同有效,担保人与主债务人承担连带保证责任。主合同无效,则该所谓的独立担保也随之无效,担保人无过错的,不承担责任;担保人有过错的,其承担民事责任的部分,不应超过债务人不能清偿部分的三分之一。</w:t>
      </w:r>
    </w:p>
    <w:p w14:paraId="428245D9"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55.</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【担保责任的范围】担保人承担的担保责任范围不应当大于主债务,是担保从属性的</w:t>
      </w:r>
      <w:r w:rsidRPr="007F07FF">
        <w:rPr>
          <w:rFonts w:ascii="宋体" w:eastAsia="宋体" w:hAnsi="宋体" w:cs="Times New Roman"/>
          <w:color w:val="000000"/>
          <w:kern w:val="2"/>
          <w:sz w:val="24"/>
          <w:szCs w:val="20"/>
        </w:rPr>
        <w:lastRenderedPageBreak/>
        <w:t>必然要求。当事人约定的担保责任的范围大于主债务的,如针对担保责任约定专门的违约责任、担保责任的数额高于主债务、担保责任约定的利息高于主债务利息、担保责任的履行期先于主债务履行期届满,等等,均应当认定大于主债务部分的约定无效,从而使担保责任缩减至主债务的范围。</w:t>
      </w:r>
    </w:p>
    <w:p w14:paraId="1ABE7B23"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56.</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混合担保中担保人之间的追偿问题】被担保的债权既有保证又有第三人提供的物的担保的,担保法司法解释第38条明确规定,承担了担保责任的担保人可以要求其他担保人清偿其应当分担的份额。但《物权法》第176条并未作出类似规定,根据《物权法》第178条关于“担保法与本法的规定不一致的,适用本法”的规定,承担了担保责任的担保人向其他担保人追偿的,人民法院不予支持,但担保人在担保合同中约定可以相互追偿的除外。</w:t>
      </w:r>
    </w:p>
    <w:p w14:paraId="1886B75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57.</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借新还旧的担保物权】贷款到期后,借款人与贷款人订立新的借款合同,将新贷用于归还旧贷,旧贷因清偿而消灭,为旧贷设立的担保物权也随之消灭。贷款人以旧贷上的担保物权尚未进行涂销登记为由,主张对新贷行使担保物权的,人民法院不予支持,但当事人约定继续为新贷提供担保的除外。</w:t>
      </w:r>
    </w:p>
    <w:p w14:paraId="0335803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58.</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担保债权的范围】以登记作为公示方式的不动产担保物权的担保范围,一般应当以登记的范围为准。但是,我国目前不动产担保物权登记,不同地区的系统设置及登记规则并不一致,人民法院在审理案件时应当充分注意制度设计上的差别,作出符合实际的判断:一是多数省区市的登记系统未设置“担保范围”栏目,仅有“被担保主债权数额(最高债权数额)”的表述,且只能填写固定数字。而当事人在合同中又往往约定担保物权的担保范围包括主债权及其利息、违约金等附属债权,致使合同约定的担保范围与登记不一致。显然,这种不一致是由于该地区登记系统设置及登记规则造成的该地区的普遍现象。人民法院以合同约定认定担保物权的担保范围,是符合实际的妥当选择。二是一些省区市不动产登记系统设置与登记规则比较规范,担保物权登记范围与合同约定一致在该地区是常态或者普遍现象,人民法院在审理案件时,应当以登记的担保范围为准。</w:t>
      </w:r>
    </w:p>
    <w:p w14:paraId="3683B8FC"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59.</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主债权诉讼时效届满的法律后果】抵押权人应当在主债权的诉讼时效期间内行使抵押权。抵押权人在主债权诉讼时效届满前未行使抵押权,抵押人在主债权诉讼时效届满后请求涂销抵押权登记的,人民法院依法予以支持。</w:t>
      </w:r>
    </w:p>
    <w:p w14:paraId="765C6593"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以登记作为公示方法的权利质权,参照适用前款规定。</w:t>
      </w:r>
    </w:p>
    <w:p w14:paraId="51B1BAED"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(二)关于不动产担保物权</w:t>
      </w:r>
    </w:p>
    <w:p w14:paraId="2A5D001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60.</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未办理登记的不动产抵押合同的效力】不动产抵押合同依法成立,但未办理抵押登记手续,债权人请求抵押人办理抵押登记手续的,人民法院依法予以支持。因抵押物灭失以及抵押物转让他人等原因不能办理抵押登记,债权人请求抵押人以抵押物的价值为限承担责任的,人民法院依法予以支持,但其范围不得超过抵押权有效设立时抵押人所应当承担的责任。</w:t>
      </w:r>
    </w:p>
    <w:p w14:paraId="4CDA7FE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61.</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【房地分别抵押】根据《物权法》第182条之规定,仅以建筑物设定抵押的,抵押权的</w:t>
      </w:r>
      <w:r w:rsidRPr="007F07FF">
        <w:rPr>
          <w:rFonts w:ascii="宋体" w:eastAsia="宋体" w:hAnsi="宋体" w:cs="Times New Roman"/>
          <w:color w:val="000000"/>
          <w:kern w:val="2"/>
          <w:sz w:val="24"/>
          <w:szCs w:val="20"/>
        </w:rPr>
        <w:lastRenderedPageBreak/>
        <w:t>效力及于占用范围内的土地;仅以建设用地使用权抵押的,抵押权的效力亦及于其上的建筑物。在房地分别抵押,即建设用地使用权抵押给一个债权人,而其上的建筑物又抵押给另一个人的情况下,可能产生两个抵押权的冲突问题。基于“房地一体”规则,此时应当将建筑物和建设用地使用权视为同一财产,从而依照《物权法》第199条的规定确定清偿顺序:登记在先的先清偿;同时登记的,按照债权比例清偿。同一天登记的,视为同时登记。应予注意的是,根据《物权法》第200条的规定,建设用地使用权抵押后,该土地上新增的建筑物不属于抵押财产。</w:t>
      </w:r>
    </w:p>
    <w:p w14:paraId="756A78B1"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62.</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抵押权随主债权转让】抵押权是从属于主合同的从权利,根据“从随主”规则,债权转让的,除法律另有规定或者当事人另有约定外,担保该债权的抵押权一并转让。受让人向抵押人主张行使抵押权,抵押人以受让人不是抵押合同的当事人、未办理变更登记等为由提出抗辩的,人民法院不予支持。</w:t>
      </w:r>
    </w:p>
    <w:p w14:paraId="10A51717"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(三)关于动产担保物权</w:t>
      </w:r>
    </w:p>
    <w:p w14:paraId="2873795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63.</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流动质押的设立与监管人的责任】在流动质押中,经常由债权人、出质人与监管人订立三方监管协议,此时应当查明监管人究竟是受债权人的委托还是受出质人的委托监管质物,确定质物是否已经交付债权人,从而判断质权是否有效设立。如果监管人系受债权人的委托监管质物,则其是债权人的直接占有人,应当认定完成了质物交付,质权有效设立。监管人违反监管协议约定,违规向出质人放货、因保管不善导致质物毁损灭失,债权人请求监管人承担违约责任的,人民法院依法予以支持。</w:t>
      </w:r>
    </w:p>
    <w:p w14:paraId="7102C9FB"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如果监管人系受出质人委托监管质物,表明质物并未交付债权人,应当认定质权未有效设立。尽管监管协议约定监管人系受债权人的委托监管质物,但有证据证明其并未履行监管职责,质物实际上仍由出质人管领控制的,也应当认定质物并未实际交付,质权未有效设立。此时,债权人可以基于质押合同的约定请求质押人承担违约责任,但其范围不得超过质权有效设立时质押人所应当承担的责任。监管人未履行监管职责的,债权人也可以请求监管人承担违约责任。</w:t>
      </w:r>
    </w:p>
    <w:p w14:paraId="130B980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64.</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浮动抵押的效力】企业将其现有的以及将有的生产设备、原材料、半成品及产品等财产设定浮动抵押后,又将其中的生产设备等部分财产设定了动产抵押,并都办理了抵押登记的,根据《物权法》第199条的规定,登记在先的浮动抵押优先于登记在后的动产抵押。</w:t>
      </w:r>
    </w:p>
    <w:p w14:paraId="3ED4D38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65.</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动产抵押权与质权竞存】同一动产上同时设立质权和抵押权的,应当参照适用《物权法》第199条的规定,根据是否完成公示以及公示先后情况来确定清偿顺序:质权有效设立、抵押权办理了抵押登记的,按照公示先后确定清偿顺序;顺序相同的,按照债权比例清偿;质权有效设立,抵押权未办理抵押登记的,质权优先于抵押权;质权未有效设立,抵押权未办理抵押登记的,因此时抵押权已经有效设立,故抵押权优先受偿。</w:t>
      </w:r>
    </w:p>
    <w:p w14:paraId="05C4EE91"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根据《物权法》第178条规定的精神,担保法司法解释第79条第1款不再适用。</w:t>
      </w:r>
    </w:p>
    <w:p w14:paraId="6F00ED71"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(四)关于非典型担保</w:t>
      </w:r>
    </w:p>
    <w:p w14:paraId="11A1EDCE"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66.</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【担保关系的认定】当事人订立的具有担保功能的合同,不存在法定无效情形的,应</w:t>
      </w:r>
      <w:r w:rsidRPr="007F07FF">
        <w:rPr>
          <w:rFonts w:ascii="宋体" w:eastAsia="宋体" w:hAnsi="宋体" w:cs="Times New Roman"/>
          <w:color w:val="000000"/>
          <w:kern w:val="2"/>
          <w:sz w:val="24"/>
          <w:szCs w:val="20"/>
        </w:rPr>
        <w:lastRenderedPageBreak/>
        <w:t>当认定有效。虽然合同约定的权利义务关系不属于物权法规定的典型担保类型,但是其担保功能应予肯定。</w:t>
      </w:r>
    </w:p>
    <w:p w14:paraId="0C2CC51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67.</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约定担保物权的效力】债权人与担保人订立担保合同,约定以法律、行政法规未禁止抵押或者质押的财产设定以登记作为公示方法的担保,因无法定的登记机构而未能进行登记的,不具有物权效力。当事人请求按照担保合同的约定就该财产折价、变卖或者拍卖所得价款等方式清偿债务的,人民法院依法予以支持,但对其他权利人不具有对抗效力和优先性。</w:t>
      </w:r>
    </w:p>
    <w:p w14:paraId="2C91C13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68.</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保兑仓交易】保兑仓交易作为一种新类型融资担保方式,其基本交易模式是,以银行信用为载体、以银行承兑汇票为结算工具、由银行控制货权、卖方(或者仓储方)受托保管货物并以承兑汇票与保证金之间的差额作为担保。其基本的交易流程是:卖方、买方和银行订立三方合作协议,其中买方向银行缴存一定比例的承兑保证金,银行向买方签发以卖方为收款人的银行承兑汇票,买方将银行承兑汇票交付卖方作为货款,银行根据买方缴纳的保证金的一定比例向卖方签发提货单,卖方根据提货单向买方交付对应金额的货物,买方销售货物后,将货款再缴存为保证金。</w:t>
      </w:r>
    </w:p>
    <w:p w14:paraId="6EAF6912"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在三方协议中,一般来说,银行的主要义务是及时签发承兑汇票并按约定方式将其交给卖方,卖方的主要义务是根据银行签发的提货单发货,并在买方未及时销售或者回赎货物时,就保证金与承兑汇票之间的差额部分承担责任。银行为保障自身利益,往往还会约定卖方要将货物交给由其指定的当事人监管,并设定质押,从而涉及监管协议以及流动质押等问题。实践中,当事人还可能在前述基本交易模式基础上另行作出其他约定,只要不违反法律、行政法规的效力性强制性规定,这些约定应当认定有效。</w:t>
      </w:r>
    </w:p>
    <w:p w14:paraId="5A5ED9EA"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一方当事人因保兑仓交易纠纷提起诉讼的,人民法院应当以保兑仓交易合同作为审理案件的基本依据,但买卖双方没有真实买卖关系的除外。</w:t>
      </w:r>
    </w:p>
    <w:p w14:paraId="03DAC1F3"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69.</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无真实贸易背景的保兑仓交易】保兑仓交易以买卖双方有真实买卖关系为前提。双方无真实买卖关系的,该交易属于名为保兑仓交易实为借款合同,保兑仓交易因构成虚伪意思表示而无效,被隐藏的借款合同是当事人的真实意思表示,如不存在其他合同无效情形,应当认定有效。保兑仓交易认定为借款合同关系的,不影响卖方和银行之间担保关系的效力,卖方仍应当承担担保责任。</w:t>
      </w:r>
    </w:p>
    <w:p w14:paraId="7A4F35E1"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70.</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保兑仓交易的合并审理】当事人就保兑仓交易中的不同法律关系的相对方分别或者同时向同一人民法院起诉的,人民法院可以根据民事诉讼法司法解释第221条的规定,合并审理。当事人未起诉某一方当事人的,人民法院可以依职权追加未参加诉讼的当事人为第三人,以便查明相关事实,正确认定责任。</w:t>
      </w:r>
    </w:p>
    <w:p w14:paraId="4BD2F831"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71.</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让与担保】债务人或者第三人与债权人订立合同,约定将财产形式上转让至债权人名下,债务人到期清偿债务,债权人将该财产返还给债务人或第三人,债务人到期没有清偿债务,债权人可以对财产拍卖、变卖、折价偿还债权的,人民法院应当认定合同有效。合同如果约</w:t>
      </w:r>
      <w:r w:rsidRPr="007F07FF">
        <w:rPr>
          <w:rFonts w:ascii="宋体" w:eastAsia="宋体" w:hAnsi="宋体" w:cs="Times New Roman"/>
          <w:color w:val="000000"/>
          <w:kern w:val="2"/>
          <w:sz w:val="24"/>
          <w:szCs w:val="20"/>
        </w:rPr>
        <w:lastRenderedPageBreak/>
        <w:t>定债务人到期没有清偿债务,财产归债权人所有的,人民法院应当认定该部分约定无效,但不影响合同其他部分的效力。</w:t>
      </w:r>
    </w:p>
    <w:p w14:paraId="77884896"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当事人根据上述合同约定,已经完成财产权利变动的公示方式转让至债权人名下,债务人到期没有清偿债务,债权人请求确认财产归其所有的,人民法院不予支持,但债权人请求参照法律关于担保物权的规定对财产拍卖、变卖、折价优先偿还其债权的,人民法院依法予以支持。债务人因到期没有清偿债务,请求对该财产拍卖、变卖、折价偿还所欠债权人合同项下债务的,人民法院亦应依法予以支持。</w:t>
      </w:r>
    </w:p>
    <w:p w14:paraId="4255AC10" w14:textId="77777777" w:rsidR="007911E7" w:rsidRPr="007F07FF" w:rsidRDefault="007911E7" w:rsidP="007F07FF">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7F07FF">
        <w:rPr>
          <w:rFonts w:ascii="黑体" w:eastAsia="黑体" w:hAnsi="黑体" w:cs="黑体"/>
          <w:color w:val="000000"/>
          <w:kern w:val="2"/>
          <w:sz w:val="26"/>
          <w:szCs w:val="26"/>
        </w:rPr>
        <w:t>五、关于金融消费者权益保护纠纷案件的审理</w:t>
      </w:r>
    </w:p>
    <w:p w14:paraId="6BB6A82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认为,在审理金融产品发行人、销售者以及金融服务提供者(以下简称卖方机构)与金融消费者之间因销售各类高风险等级金融产品和为金融消费者参与高风险等级投资活动提供服务而引发的民商事案件中,必须坚持“卖者尽责、买者自负”原则,将金融消费者是否充分了解相关金融产品、投资活动的性质及风险并在此基础上作出自主决定作为应当查明的案件基本事实,依法保护金融消费者的合法权益,规范卖方机构的经营行为,推动形成公开、公平、公正的市场环境和市场秩序。</w:t>
      </w:r>
    </w:p>
    <w:p w14:paraId="595E68F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72.</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适当性义务】适当性义务是指卖方机构在向金融消费者推介、销售银行理财产品、保险投资产品、信托理财产品、券商集合理财计划、杠杆基金份额、期权及其他场外衍生品等高风险等级金融产品,以及为金融消费者参与融资融券、新三板、创业板、科创板、期货等高风险等级投资活动提供服务的过程中,必须履行的了解客户、了解产品、将适当的产品(或者服务)销售(或者提供)给适合的金融消费者等义务。卖方机构承担适当性义务的目的是为了确保金融消费者能够在充分了解相关金融产品、投资活动的性质及风险的基础上作出自主决定,并承受由此产生的收益和风险。在推介、销售高风险等级金融产品和提供高风险等级金融服务领域,适当性义务的履行是“卖者尽责”的主要内容,也是“买者自负”的前提和基础。</w:t>
      </w:r>
    </w:p>
    <w:p w14:paraId="15EDA293"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73.</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法律适用规则】在确定卖方机构适当性义务的内容时,应当以合同法、证券法、证券投资基金法、信托法等法律规定的基本原则和国务院发布的规范性文件作为主要依据。相关部门在部门规章、规范性文件中对高风险等级金融产品的推介、销售,以及为金融消费者参与高风险等级投资活动提供服务作出的监管规定,与法律和国务院发布的规范性文件的规定不相抵触的,可以参照适用。</w:t>
      </w:r>
    </w:p>
    <w:p w14:paraId="5882A8E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74.</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责任主体】金融产品发行人、销售者未尽适当性义务,导致金融消费者在购买金融产品过程中遭受损失的,金融消费者既可以请求金融产品的发行人承担赔偿责任,也可以请求金融产品的销售者承担赔偿责任,还可以根据《民法总则》第167条的规定,请求金融产品的发行人、销售者共同承担连带赔偿责任。发行人、销售者请求人民法院明确各自的责任份额的,人民法院可以在判决发行人、销售者对金融消费者承担连带赔偿责任的同时,明确发行人、销</w:t>
      </w:r>
      <w:r w:rsidRPr="007F07FF">
        <w:rPr>
          <w:rFonts w:ascii="宋体" w:eastAsia="宋体" w:hAnsi="宋体" w:cs="Times New Roman"/>
          <w:color w:val="000000"/>
          <w:kern w:val="2"/>
          <w:sz w:val="24"/>
          <w:szCs w:val="20"/>
        </w:rPr>
        <w:lastRenderedPageBreak/>
        <w:t>售者在实际承担了赔偿责任后,有权向责任方追偿其应当承担的赔偿份额。</w:t>
      </w:r>
    </w:p>
    <w:p w14:paraId="2795CAE2"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金融服务提供者未尽适当性义务,导致金融消费者在接受金融服务后参与高风险等级投资活动遭受损失的,金融消费者可以请求金融服务提供者承担赔偿责任。</w:t>
      </w:r>
    </w:p>
    <w:p w14:paraId="3894FF58"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75.</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举证责任分配】在案件审理过程中,金融消费者应当对购买产品(或者接受服务)、遭受的损失等事实承担举证责任。卖方机构对其是否履行了适当性义务承担举证责任。卖方机构不能提供其已经建立了金融产品(或者服务)的风险评估及相应管理制度、对金融消费者的风险认知、风险偏好和风险承受能力进行了测试、向金融消费者告知产品(或者服务)的收益和主要风险因素等相关证据的,应当承担举证不能的法律后果。</w:t>
      </w:r>
    </w:p>
    <w:p w14:paraId="4714922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76.</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告知说明义务】告知说明义务的履行是金融消费者能够真正了解各类高风险等级金融产品或者高风险等级投资活动的投资风险和收益的关键,人民法院应当根据产品、投资活动的风险和金融消费者的实际情况,综合理性人能够理解的客观标准和金融消费者能够理解的主观标准来确定卖方机构是否已经履行了告知说明义务。卖方机构简单地以金融消费者手写了诸如“本人明确知悉可能存在本金损失风险”等内容主张其已经履行了告知说明义务,不能提供其他相关证据的,人民法院对其抗辩理由不予支持。</w:t>
      </w:r>
    </w:p>
    <w:p w14:paraId="7B3700E8"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77.</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【损失赔偿数额】卖方机构未尽适当性义务导致金融消费者损失的,应当赔偿金融消费者所受的实际损失。实际损失为损失的本金和利息,利息按照中国人民银行发布的同期同类存款基准利率计算。</w:t>
      </w:r>
    </w:p>
    <w:p w14:paraId="082ACD54"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金融消费者因购买高风险等级金融产品或者为参与高风险投资活动接受服务,以卖方机构存在欺诈行为为由,主张卖方机构应当根据《消费者权益保护法》第55条的规定承担惩罚性赔偿责任的,人民法院不予支持。卖方机构的行为构成欺诈的,对金融消费者提出赔偿其支付金钱总额的利息损失请求,应当注意区分不同情况进行处理:</w:t>
      </w:r>
    </w:p>
    <w:p w14:paraId="6D13CB88"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(1)金融产品的合同文本中载明了预期收益率、业绩比较基准或者类似约定的,可以将其作为计算利息损失的标准;</w:t>
      </w:r>
    </w:p>
    <w:p w14:paraId="2B740D34"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(2)合同文本以浮动区间的方式对预期收益率或者业绩比较基准等进行约定,金融消费者请求按照约定的上限作为利息损失计算标准的,人民法院依法予以支持;</w:t>
      </w:r>
    </w:p>
    <w:p w14:paraId="1E2B53D7"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(3)合同文本虽然没有关于预期收益率、业绩比较基准或者类似约定,但金融消费者能够提供证据证明产品发行的广告宣传资料中载明了预期收益率、业绩比较基准或者类似表述的,应当将宣传资料作为合同文本的组成部分;</w:t>
      </w:r>
    </w:p>
    <w:p w14:paraId="7F3C31AC"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(4)合同文本及广告宣传资料中未载明预期收益率、业绩比较基准或者类似表述的,按照全国银行间同业拆借中心公布的贷款市场报价利率计算。</w:t>
      </w:r>
    </w:p>
    <w:p w14:paraId="434A9A21"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78.</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免责事由】因金融消费者故意提供虚假信息、拒绝听取卖方机构的建议等自身原因导致其购买产品或者接受服务不适当,卖方机构请求免除相应责任的,人民法院依法予以支持,但金融消费者能够证明该虚假信息的出具系卖方机构误导的除外。卖方机构能够举证证明</w:t>
      </w:r>
      <w:r w:rsidRPr="007F07FF">
        <w:rPr>
          <w:rFonts w:ascii="宋体" w:eastAsia="宋体" w:hAnsi="宋体" w:cs="Times New Roman"/>
          <w:color w:val="000000"/>
          <w:kern w:val="2"/>
          <w:sz w:val="24"/>
          <w:szCs w:val="20"/>
        </w:rPr>
        <w:lastRenderedPageBreak/>
        <w:t>根据金融消费者的既往投资经验、受教育程度等事实,适当性义务的违反并未影响金融消费者作出自主决定的,对其关于应当由金融消费者自负投资风险的抗辩理由,人民法院依法予以支持。</w:t>
      </w:r>
    </w:p>
    <w:p w14:paraId="2007CD91" w14:textId="77777777" w:rsidR="007911E7" w:rsidRPr="007F07FF" w:rsidRDefault="007911E7" w:rsidP="007F07FF">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7F07FF">
        <w:rPr>
          <w:rFonts w:ascii="黑体" w:eastAsia="黑体" w:hAnsi="黑体" w:cs="黑体"/>
          <w:color w:val="000000"/>
          <w:kern w:val="2"/>
          <w:sz w:val="26"/>
          <w:szCs w:val="26"/>
        </w:rPr>
        <w:t>六、关于证券纠纷案件的审理</w:t>
      </w:r>
    </w:p>
    <w:p w14:paraId="6665E48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(一)关于证券虚假陈述</w:t>
      </w:r>
    </w:p>
    <w:p w14:paraId="6DFCF95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认为,《最高人民法院关于审理证券市场因虚假陈述引发的民事赔偿案件的若干规定》施行以来,证券市场的发展出现了新的情况,证券虚假陈述纠纷案件的审理对司法能力提出了更高的要求。在案件审理过程中,对于需要借助其他学科领域的专业知识进行职业判断的问题,要充分发挥专家证人的作用,使得案件的事实认定符合证券市场的基本常识和普遍认知或者认可的经验法则,责任承担与侵权行为及其主观过错程度相匹配,在切实维护投资者合法权益的同时,通过民事责任追究实现震慑违法的功能,维护公开、公平、公正的资本市场秩序。</w:t>
      </w:r>
    </w:p>
    <w:p w14:paraId="1CF75B53"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79.</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共同管辖的案件移送】原告以发行人、上市公司以外的虚假陈述行为人为被告提起诉讼,被告申请追加发行人或者上市公司为共同被告的,人民法院应予准许。人民法院在追加后发现其他有管辖权的人民法院已先行受理因同一虚假陈述引发的民事赔偿案件的,应当按照民事诉讼法司法解释第36条的规定,将案件移送给先立案的人民法院。</w:t>
      </w:r>
    </w:p>
    <w:p w14:paraId="5877406A"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80.</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案件审理方式】案件审理方式方面,在传统的“一案一立、分别审理”的方式之外,一些人民法院已经进行了将部分案件合并审理、在示范判决基础上委托调解等改革,初步实现了案件审理的集约化和诉讼经济。在认真总结审判实践经验的基础上,有条件的地方人民法院可以选择个案以《民事诉讼法》第54条规定的代表人诉讼方式进行审理,逐步展开试点工作。就案件审理中涉及的适格原告范围认定、公告通知方式、投资者权利登记、代表人推选、执行款项的发放等具体工作,积极协调相关部门和有关方面,推动信息技术审判辅助平台和常态化、可持续的工作机制建设,保障投资者能够便捷、高效、透明和低成本地维护自身合法权益,为构建符合中国国情的证券民事诉讼制度积累审判经验,培养审判队伍。</w:t>
      </w:r>
    </w:p>
    <w:p w14:paraId="71EF045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81.</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立案登记】多个投资者就同一虚假陈述向人民法院提起诉讼,可以采用代表人诉讼方式对案件进行审理的,人民法院在登记立案时可以根据原告起诉状中所描述的虚假陈述的数量、性质及其实施日、揭露日或者更正日等时间节点,将投资者作为共同原告统一立案登记。原告主张被告实施了多个虚假陈述的,可以分别立案登记。</w:t>
      </w:r>
    </w:p>
    <w:p w14:paraId="7987462A"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82.</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案件甄别及程序决定】人民法院决定采用《民事诉讼法》第54条规定的方式审理案件的,在发出公告前,应当先行就被告的行为是否构成虚假陈述,投资者的交易方向与诱多、诱空的虚假陈述是否一致,以及虚假陈述的实施日、揭露日或者更正日等案件基本事实进行审查。</w:t>
      </w:r>
    </w:p>
    <w:p w14:paraId="559BA621"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83.</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【选定代表人】权利登记的期间届满后,人民法院应当通知当事人在指定期间内完成</w:t>
      </w:r>
      <w:r w:rsidRPr="007F07FF">
        <w:rPr>
          <w:rFonts w:ascii="宋体" w:eastAsia="宋体" w:hAnsi="宋体" w:cs="Times New Roman"/>
          <w:color w:val="000000"/>
          <w:kern w:val="2"/>
          <w:sz w:val="24"/>
          <w:szCs w:val="20"/>
        </w:rPr>
        <w:lastRenderedPageBreak/>
        <w:t>代表人的推选工作。推选不出代表人的,人民法院可以与当事人商定代表人。人民法院在提出人选时,应当将当事人诉讼请求的典型性和利益诉求的份额等作为考量因素,确保代表行为能够充分、公正地表达投资者的诉讼主张。国家设立的投资者保护机构以自己的名义提起诉讼,或者接受投资者的委托指派工作人员或者委托诉讼代理人参与案件审理活动的,人民法院可以商定该机构或者其代理的当事人作为代表人。</w:t>
      </w:r>
    </w:p>
    <w:p w14:paraId="4F4116F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84.</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揭露日和更正日的认定】虚假陈述的揭露和更正,是指虚假陈述被市场所知悉、了解,其精确程度并不以“镜像规则”为必要,不要求达到全面、完整、准确的程度。原则上,只要交易市场对监管部门立案调查、权威媒体刊载的揭露文章等信息存在着明显的反应,对一方主张市场已经知悉虚假陈述的抗辩,人民法院依法予以支持。</w:t>
      </w:r>
    </w:p>
    <w:p w14:paraId="0F1B709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85.</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重大性要件的认定】审判实践中,部分人民法院对重大性要件和信赖要件存在着混淆认识,以行政处罚认定的信息披露违法行为对投资者的交易决定没有影响为由否定违法行为的重大性,应当引起注意。重大性是指可能对投资者进行投资决策具有重要影响的信息,虚假陈述已经被监管部门行政处罚的,应当认为是具有重大性的违法行为。在案件审理过程中,对于一方提出的监管部门作出处罚决定的行为不具有重大性的抗辩,人民法院不予支持,同时应当向其释明,该抗辩并非民商事案件的审理范围,应当通过行政复议、行政诉讼加以解决。</w:t>
      </w:r>
    </w:p>
    <w:p w14:paraId="2ABBA07C"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(二)关于场外配资</w:t>
      </w:r>
    </w:p>
    <w:p w14:paraId="7B087508"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认为,将证券市场的信用交易纳入国家统一监管的范围,是维护金融市场透明度和金融稳定的重要内容。不受监管的场外配资业务,不仅盲目扩张了资本市场信用交易的规模,也容易冲击资本市场的交易秩序。融资融券作为证券市场的主要信用交易方式和证券经营机构的核心业务之一,依法属于国家特许经营的金融业务,未经依法批准,任何单位和个人不得非法从事配资业务。</w:t>
      </w:r>
    </w:p>
    <w:p w14:paraId="0E7EB8C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86.</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场外配资合同的效力】从审判实践看,场外配资业务主要是指一些P2P公司或者私募类配资公司利用互联网信息技术,搭建起游离于监管体系之外的融资业务平台,将资金融出方、资金融入方即用资人和券商营业部三方连接起来,配资公司利用计算机软件系统的二级分仓功能将其自有资金或者以较低成本融入的资金出借给用资人,赚取利息收入的行为。这些场外配资公司所开展的经营活动,本质上属于只有证券公司才能依法开展的融资活动,不仅规避了监管部门对融资融券业务中资金来源、投资标的、杠杆比例等诸多方面的限制,也加剧了市场的非理性波动。在案件审理过程中,除依法取得融资融券资格的证券公司与客户开展的融资融券业务外,对其他任何单位或者个人与用资人的场外配资合同,人民法院应当根据《证券法》第142条、合同法司法解释(一)第10条的规定,认定为无效。</w:t>
      </w:r>
    </w:p>
    <w:p w14:paraId="2E829FE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87.</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【合同无效的责任承担】场外配资合同被确认无效后,配资方依场外配资合同的约定,请求用资人向其支付约定的利息和费用的,人民法院不予支持。</w:t>
      </w:r>
    </w:p>
    <w:p w14:paraId="643D27F3"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配资方依场外配资合同的约定,请求分享用资人因使用配资所产生的收益的,人民法院不</w:t>
      </w:r>
      <w:r w:rsidRPr="007F07FF">
        <w:rPr>
          <w:rFonts w:ascii="宋体" w:eastAsia="宋体" w:hAnsi="宋体" w:cs="Times New Roman"/>
          <w:color w:val="000000"/>
          <w:kern w:val="2"/>
          <w:sz w:val="24"/>
          <w:szCs w:val="20"/>
        </w:rPr>
        <w:lastRenderedPageBreak/>
        <w:t>予支持。</w:t>
      </w:r>
    </w:p>
    <w:p w14:paraId="1932769D"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用资人以其因使用配资导致投资损失为由请求配资方予以赔偿的,人民法院不予支持。用资人能够证明因配资方采取更改密码等方式控制账户使得用资人无法及时平仓止损,并据此请求配资方赔偿其因此遭受的损失的,人民法院依法予以支持。</w:t>
      </w:r>
    </w:p>
    <w:p w14:paraId="3FFD16A3"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用资人能够证明配资合同是因配资方招揽、劝诱而订立,请求配资方赔偿其全部或者部分损失的,人民法院应当综合考虑配资方招揽、劝诱行为的方式、对用资人的实际影响、用资人自身的投资经历、风险判断和承受能力等因素,判决配资方承担与其过错相适应的赔偿责任。</w:t>
      </w:r>
    </w:p>
    <w:p w14:paraId="6B5A4E7E" w14:textId="77777777" w:rsidR="007911E7" w:rsidRPr="007F07FF" w:rsidRDefault="007911E7" w:rsidP="007F07FF">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7F07FF">
        <w:rPr>
          <w:rFonts w:ascii="黑体" w:eastAsia="黑体" w:hAnsi="黑体" w:cs="黑体"/>
          <w:color w:val="000000"/>
          <w:kern w:val="2"/>
          <w:sz w:val="26"/>
          <w:szCs w:val="26"/>
        </w:rPr>
        <w:t>七、关于营业信托纠纷案件的审理</w:t>
      </w:r>
    </w:p>
    <w:p w14:paraId="02822B7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认为,从审判实践看,营业信托纠纷主要表现为事务管理信托纠纷和主动管理信托纠纷两种类型。在事务管理信托纠纷案件中,对信托公司开展和参与的多层嵌套、通道业务、回购承诺等融资活动,要以其实际构成的法律关系确定其效力,并在此基础上依法确定各方的权利义务。在主动管理信托纠纷案件中,应当重点审查受托人在“受人之托,忠人之事”的财产管理过程中,是否恪尽职守,履行了谨慎、有效管理等法定或者约定义务。</w:t>
      </w:r>
    </w:p>
    <w:p w14:paraId="56CA391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88.</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营业信托纠纷的认定】信托公司根据法律法规以及金融监督管理部门的监管规定,以取得信托报酬为目的接受委托人的委托,以受托人身份处理信托事务的经营行为,属于营业信托。由此产生的信托当事人之间的纠纷,为营业信托纠纷。</w:t>
      </w:r>
    </w:p>
    <w:p w14:paraId="26FCFE6D"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根据《关于规范金融机构资产管理业务的指导意见》的规定,其他金融机构开展的资产管理业务构成信托关系的,当事人之间的纠纷适用信托法及其他有关规定处理。</w:t>
      </w:r>
    </w:p>
    <w:p w14:paraId="52B968A0"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89.</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资产或者资产收益权转让及回购】信托公司在资金信托成立后,以募集的信托资金受让特定资产或者特定资产收益权,属于信托公司在资金依法募集后的资金运用行为,由此引发的纠纷不应当认定为营业信托纠纷。如果合同中约定由转让方或者其指定的第三方在一定期间后以交易本金加上溢价款等固定价款无条件回购的,无论转让方所转让的标的物是否真实存在、是否实际交付或者过户,只要合同不存在法定无效事由,对信托公司提出的由转让方或者其指定的第三方按约定承担责任的诉讼请求,人民法院依法予以支持。</w:t>
      </w:r>
    </w:p>
    <w:p w14:paraId="2DEF917A"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当事人在相关合同中同时约定采用信托公司受让目标公司股权、向目标公司增资方式并以相应股权担保债权实现的,应当认定在当事人之间成立让与担保法律关系。当事人之间的具体权利义务,根据本纪要第71条的规定加以确定。</w:t>
      </w:r>
    </w:p>
    <w:p w14:paraId="5AACB68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90.</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劣后级受益人的责任承担】信托文件及相关合同将受益人区分为优先级受益人和劣后级受益人等不同类别,约定优先级受益人以其财产认购信托计划份额,在信托到期后,劣后级受益人负有对优先级受益人从信托财产获得利益与其投资本金及约定收益之间的差额承担补足义务,优先级受益人请求劣后级受益人按照约定承担责任的,人民法院依法予以支持。</w:t>
      </w:r>
    </w:p>
    <w:p w14:paraId="2EE2741E"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信托文件中关于不同类型受益人权利义务关系的约定,不影响受益人与受托人之间信托法</w:t>
      </w:r>
      <w:r w:rsidRPr="007F07FF">
        <w:rPr>
          <w:rFonts w:ascii="宋体" w:eastAsia="宋体" w:hAnsi="宋体" w:cs="Times New Roman"/>
          <w:color w:val="000000"/>
          <w:kern w:val="2"/>
          <w:sz w:val="24"/>
          <w:szCs w:val="20"/>
        </w:rPr>
        <w:lastRenderedPageBreak/>
        <w:t>律关系的认定。</w:t>
      </w:r>
    </w:p>
    <w:p w14:paraId="408D630A"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91.</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增信文件的性质】信托合同之外的当事人提供第三方差额补足、代为履行到期回购义务、流动性支持等类似承诺文件作为增信措施,其内容符合法律关于保证的规定的,人民法院应当认定当事人之间成立保证合同关系。其内容不符合法律关于保证的规定的,依据承诺文件的具体内容确定相应的权利义务关系,并根据案件事实情况确定相应的民事责任。</w:t>
      </w:r>
    </w:p>
    <w:p w14:paraId="0B1D3CB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92.</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保底或者刚兑条款无效】信托公司、商业银行等金融机构作为资产管理产品的受托人与受益人订立的含有保证本息固定回报、保证本金不受损失等保底或者刚兑条款的合同,人民法院应当认定该条款无效。受益人请求受托人对其损失承担与其过错相适应的赔偿责任的,人民法院依法予以支持。</w:t>
      </w:r>
    </w:p>
    <w:p w14:paraId="7BAE25C5"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实践中,保底或者刚兑条款通常不在资产管理产品合同中明确约定,而是以“抽屉协议”或者其他方式约定,不管形式如何,均应认定无效。</w:t>
      </w:r>
    </w:p>
    <w:p w14:paraId="62EBDDBE"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93.</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通道业务的效力】当事人在信托文件中约定,委托人自主决定信托设立、信托财产运用对象、信托财产管理运用处分方式等事宜,自行承担信托资产的风险管理责任和相应风险损失,受托人仅提供必要的事务协助或者服务,不承担主动管理职责的,应当认定为通道业务。《中国人民银行、中国银行保险监督管理委员会、中国证券监督管理委员会、国家外汇管理局关于规范金融机构资产管理业务的指导意见》第22条在规定“金融机构不得为其他金融机构的资产管理产品提供规避投资范围、杠杆约束等监管要求的通道服务”的同时,也在第29条明确按照“新老划断”原则,将过渡期设置为截止2020年底,确保平稳过渡。在过渡期内,对通道业务中存在的利用信托通道掩盖风险,规避资金投向、资产分类、拨备计提和资本占用等监管规定,或者通过信托通道将表内资产虚假出表等信托业务,如果不存在其他无效事由,一方以信托目的违法违规为由请求确认无效的,人民法院不予支持。至于委托人和受托人之间的权利义务关系,应当依据信托文件的约定加以确定。</w:t>
      </w:r>
    </w:p>
    <w:p w14:paraId="0DA6A083"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94.</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受托人的举证责任】资产管理产品的委托人以受托人未履行勤勉尽责、公平对待客户等义务损害其合法权益为由,请求受托人承担损害赔偿责任的,应当由受托人举证证明其已经履行了义务。受托人不能举证证明,委托人请求其承担相应赔偿责任的,人民法院依法予以支持。</w:t>
      </w:r>
    </w:p>
    <w:p w14:paraId="4C6876F0"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95.</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信托财产的诉讼保全】信托财产在信托存续期间独立于委托人、受托人、受益人各自的固有财产。委托人将其财产委托给受托人进行管理,在信托依法设立后,该信托财产即独立于委托人未设立信托的其他固有财产。受托人因承诺信托而取得的信托财产,以及通过对信托财产的管理、运用、处分等方式取得的财产,均独立于受托人的固有财产。受益人对信托财产享有的权利表现为信托受益权,信托财产并非受益人的责任财产。因此,当事人因其与委托人、受托人或者受益人之间的纠纷申请对存管银行或者信托公司专门账户中的信托资金采取保全措施的,除符合《信托法》第17条规定的情形外,人民法院不应当准许。已经采取保全措施的,</w:t>
      </w:r>
      <w:r w:rsidRPr="007F07FF">
        <w:rPr>
          <w:rFonts w:ascii="宋体" w:eastAsia="宋体" w:hAnsi="宋体" w:cs="Times New Roman"/>
          <w:color w:val="000000"/>
          <w:kern w:val="2"/>
          <w:sz w:val="24"/>
          <w:szCs w:val="20"/>
        </w:rPr>
        <w:lastRenderedPageBreak/>
        <w:t>存管银行或者信托公司能够提供证据证明该账户为信托账户的,应当立即解除保全措施。对信托公司管理的其他信托财产的保全,也应当根据前述规则办理。</w:t>
      </w:r>
    </w:p>
    <w:p w14:paraId="5EA7BB9D"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当事人申请对受益人的受益权采取保全措施的,人民法院应当根据《信托法》第47条的规定进行审查,决定是否采取保全措施。决定采取保全措施的,应当将保全裁定送达受托人和受益人。</w:t>
      </w:r>
    </w:p>
    <w:p w14:paraId="63D55B7C"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96.</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信托公司固有财产的诉讼保全】除信托公司作为被告外,原告申请对信托公司固有资金账户的资金采取保全措施的,人民法院不应准许。信托公司作为被告,确有必要对其固有财产采取诉讼保全措施的,必须强化善意执行理念,防范发生金融风险。要严格遵守相应的适用条件与法定程序,坚决杜绝超标的执行。在采取具体保全措施时,要尽量寻求依法平等保护各方利益的平衡点,优先采取方便执行且对信托公司正常经营影响最小的执行措施,能采取“活封”“活扣”措施的,尽量不进行“死封”“死扣”。在条件允许的情况下,可以为信托公司预留必要的流动资金和往来账户,最大限度降低对信托公司正常经营活动的不利影响。信托公司申请解除财产保全符合法律、司法解释规定情形的,应当在法定期限内及时解除保全措施。</w:t>
      </w:r>
    </w:p>
    <w:p w14:paraId="0B23A201" w14:textId="77777777" w:rsidR="007911E7" w:rsidRPr="007F07FF" w:rsidRDefault="007911E7" w:rsidP="007F07FF">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7F07FF">
        <w:rPr>
          <w:rFonts w:ascii="黑体" w:eastAsia="黑体" w:hAnsi="黑体" w:cs="黑体"/>
          <w:color w:val="000000"/>
          <w:kern w:val="2"/>
          <w:sz w:val="26"/>
          <w:szCs w:val="26"/>
        </w:rPr>
        <w:t>八、关于财产保险合同纠纷案件的审理</w:t>
      </w:r>
    </w:p>
    <w:p w14:paraId="710AC0C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会议认为,妥善审理财产保险合同纠纷案件,对于充分发挥保险的风险管理和保障功能,依法保护各方当事人合法权益,实现保险业持续健康发展和服务实体经济,具有重大意义。</w:t>
      </w:r>
    </w:p>
    <w:p w14:paraId="44935A6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97.</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未依约支付保险费的合同效力】当事人在财产保险合同中约定以投保人支付保险费作为合同生效条件,但对该生效条件是否为全额支付保险费约定不明,已经支付了部分保险费的投保人主张保险合同已经生效的,人民法院依法予以支持。</w:t>
      </w:r>
    </w:p>
    <w:p w14:paraId="64000AD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98.</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仲裁协议对保险人的效力】被保险人和第三者在保险事故发生前达成的仲裁协议,对行使保险代位求偿权的保险人是否具有约束力,实务中存在争议。保险代位求偿权是一种法定债权转让,保险人在向被保险人赔偿保险金后,有权行使被保险人对第三者请求赔偿的权利。被保险人和第三者在保险事故发生前达成的仲裁协议,对保险人具有约束力。考虑到涉外民商事案件的处理常常涉及国际条约、国际惯例的适用,相关问题具有特殊性,故具有涉外因素的民商事纠纷案件中该问题的处理,不纳入本条规范的范围。</w:t>
      </w:r>
    </w:p>
    <w:p w14:paraId="70ACC9B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99.</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直接索赔的诉讼时效】商业责任保险的被保险人给第三者造成损害,被保险人对第三者应当承担的赔偿责任确定后,保险人应当根据被保险人的请求,直接向第三者赔偿保险金。被保险人怠于提出请求的,第三者有权依据《保险法》第65条第2款的规定,就其应获赔偿部分直接向保险人请求赔偿保险金。保险人拒绝赔偿的,第三者请求保险人直接赔偿保险金的诉讼时效期间的起算时间如何认定,实务中存在争议。根据诉讼时效制度的基本原理,第三者请求保险人直接赔偿保险金的诉讼时效期间,自其知道或者应当知道向保险人的保险金赔偿请求权行使条件成就之日起计算。</w:t>
      </w:r>
    </w:p>
    <w:p w14:paraId="2FC496F4" w14:textId="77777777" w:rsidR="007911E7" w:rsidRPr="007F07FF" w:rsidRDefault="007911E7" w:rsidP="007F07FF">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7F07FF">
        <w:rPr>
          <w:rFonts w:ascii="黑体" w:eastAsia="黑体" w:hAnsi="黑体" w:cs="黑体"/>
          <w:color w:val="000000"/>
          <w:kern w:val="2"/>
          <w:sz w:val="26"/>
          <w:szCs w:val="26"/>
        </w:rPr>
        <w:lastRenderedPageBreak/>
        <w:t>九、关于票据纠纷案件的审理</w:t>
      </w:r>
    </w:p>
    <w:p w14:paraId="23DFDE24"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认为,人民法院在审理票据纠纷案件时,应当注意区分票据的种类和功能,正确理解票据行为无因性的立法目的,在维护票据流通性功能的同时,依法认定票据行为的效力,依法确认当事人之间的权利义务关系以及保护合法持票人的权益,防范和化解票据融资市场风险,维护票据市场的交易安全。</w:t>
      </w:r>
    </w:p>
    <w:p w14:paraId="5E59DA33"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100.</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合谋伪造贴现申请材料的后果】贴现行的负责人或者有权从事该业务的工作人员与贴现申请人合谋,伪造贴现申请人与其前手之间具有真实的商品交易关系的合同、增值税专用发票等材料申请贴现,贴现行主张其享有票据权利的,人民法院不予支持。对贴现行因支付资金而产生的损失,按照基础关系处理。</w:t>
      </w:r>
    </w:p>
    <w:p w14:paraId="3814CF8A"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101.</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民间贴现行为的效力】票据贴现属于国家特许经营业务,合法持票人向不具有法定贴现资质的当事人进行“贴现”的,该行为应当认定无效,贴现款和票据应当相互返还。当事人不能返还票据的,原合法持票人可以拒绝返还贴现款。人民法院在民商事案件审理过程中,发现不具有法定资质的当事人以“贴现”为业的,因该行为涉嫌犯罪,应当将有关材料移送公安机关。民商事案件的审理必须以相关刑事案件的审理结果为依据的,应当中止诉讼,待刑事案件审结后,再恢复案件的审理。案件的基本事实无须以相关刑事案件的审理结果为依据的,人民法院应当继续审理。</w:t>
      </w:r>
    </w:p>
    <w:p w14:paraId="116AA206"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根据票据行为无因性原理,在合法持票人向不具有贴现资质的主体进行“贴现”,该“贴现”人给付贴现款后直接将票据交付其后手,其后手支付对价并记载自己为被背书人后,又基于真实的交易关系和债权债务关系将票据进行背书转让的情形下,应当认定最后持票人为合法持票人。</w:t>
      </w:r>
    </w:p>
    <w:p w14:paraId="42D67F3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102.</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转贴现协议】转贴现是通过票据贴现持有票据的商业银行为了融通资金,在票据到期日之前将票据权利转让给其他商业银行,由转贴现行在收取一定的利息后,将转贴现款支付给持票人的票据转让行为。转贴现行提示付款被拒付后,依据转贴现协议的约定,请求未在票据上背书的转贴现申请人按照合同法律关系返还转贴现款并赔偿损失的,案由应当确定为合同纠纷。转贴现合同法律关系有效成立的,对于原告的诉讼请求,人民法院依法予以支持。当事人虚构转贴现事实,或者当事人之间不存在真实的转贴现合同法律关系的,人民法院应当向当事人释明按照真实交易关系提出诉讼请求,并按照真实交易关系和当事人约定本意依法确定当事人的责任。</w:t>
      </w:r>
    </w:p>
    <w:p w14:paraId="39DA71CA"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103.</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票据清单交易、封包交易案件中的票据权利】审判实践中,以票据贴现为手段的多链条融资模式引发的案件应当引起重视。这种交易俗称票据清单交易、封包交易,是指商业银行之间就案涉票据订立转贴现或者回购协议,附以票据清单,或者将票据封包作为质押,双方约定按照票据清单中列明的基本信息进行票据转贴现或者回购,但往往并不进行票据交付和背</w:t>
      </w:r>
      <w:r w:rsidRPr="007F07FF">
        <w:rPr>
          <w:rFonts w:ascii="宋体" w:eastAsia="宋体" w:hAnsi="宋体" w:cs="Times New Roman"/>
          <w:color w:val="000000"/>
          <w:kern w:val="2"/>
          <w:sz w:val="24"/>
          <w:szCs w:val="20"/>
        </w:rPr>
        <w:lastRenderedPageBreak/>
        <w:t>书。实务中,双方还往往再订立一份代保管协议,约定由原票据持有人代对方继续持有票据,从而实现合法、合规的形式要求。</w:t>
      </w:r>
    </w:p>
    <w:p w14:paraId="0C4C16F2"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出资银行仅以参与交易的单个或者部分银行为被告提起诉讼行使票据追索权,被告能够举证证明票据交易存在诸如不符合正常转贴现交易顺序的倒打款、未进行背书转让、票据未实际交付等相关证据,并据此主张相关金融机构之间并无转贴现的真实意思表示,抗辩出资银行不享有票据权利的,人民法院依法予以支持。</w:t>
      </w:r>
    </w:p>
    <w:p w14:paraId="5E18FD1B"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出资银行在取得商业承兑汇票后又将票据转贴现给其他商业银行,持票人向其前手主张票据权利的,人民法院依法予以支持。</w:t>
      </w:r>
    </w:p>
    <w:p w14:paraId="7FB2E1A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104.</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票据清单交易、封包交易案件的处理原则】在村镇银行、农信社等作为直贴行,农信社、农商行、城商行、股份制银行等多家金融机构共同开展以商业承兑汇票为基础的票据清单交易、封包交易引发的纠纷案件中,在商业承兑汇票的出票人等实际用资人不能归还票款的情况下,为实现纠纷的一次性解决,出资银行以实际用资人和参与交易的其他金融机构为共同被告,请求实际用资人归还本息、参与交易的其他金融机构承担与其过错相适应的赔偿责任的,人民法院依法予以支持。</w:t>
      </w:r>
    </w:p>
    <w:p w14:paraId="0C88A722"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出资银行仅以整个交易链条的部分当事人为被告提起诉讼的,人民法院应当向其释明,其应当申请追加参与交易的其他当事人作为共同被告。出资银行拒绝追加实际用资人为被告的,人民法院应当驳回其诉讼请求;出资银行拒绝追加参与交易的其他金融机构为被告的,人民法院在确定其他金融机构的过错责任范围时,应当将未参加诉讼的当事人应当承担的相应份额作为考量因素,相应减轻本案当事人的责任。在确定参与交易的其他金融机构的过错责任范围时,可以参照其收取的“通道费”“过桥费”等费用的比例以及案件的其他情况综合加以确定。</w:t>
      </w:r>
    </w:p>
    <w:p w14:paraId="71806B6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105.</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票据清单交易、封包交易案件中的民刑交叉问题】人民法院在案件审理过程中,如果发现公安机关已经就实际用资人、直贴行、出资银行的工作人员涉嫌骗取票据承兑罪、伪造印章罪等立案侦查,一方当事人根据《最高人民法院关于在审理经济纠纷案件中涉及经济犯罪嫌疑若干问题的规定》第11条的规定申请将案件移送公安机关的,因该节事实对于查明出资银行是否为正当持票人,以及参与交易的其他金融机构的抗辩理由能否成立存在重要关联,人民法院应当将有关材料移送公安机关。民商事案件的审理必须以相关刑事案件的审理结果为依据的,应当中止诉讼,待刑事案件审结后,再恢复案件的审理。案件的基本事实无须以相关刑事案件的审理结果为依据的,人民法院应当继续案件的审理。</w:t>
      </w:r>
    </w:p>
    <w:p w14:paraId="66A68858"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参与交易的其他商业银行以公安机关已经对其工作人员涉嫌受贿、伪造印章等犯罪立案侦查为由请求将案件移送公安机关的,因该节事实并不影响相关当事人民事责任的承担,人民法院应当根据《最高人民法院关于在审理经济纠纷案件中涉及经济犯罪嫌疑若干问题的规定》第10条的规定继续审理。</w:t>
      </w:r>
    </w:p>
    <w:p w14:paraId="1DC97E19"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106.</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【恶意申请公示催告的救济】公示催告程序本为对合法持票人进行失票救济所设,</w:t>
      </w:r>
      <w:r w:rsidRPr="007F07FF">
        <w:rPr>
          <w:rFonts w:ascii="宋体" w:eastAsia="宋体" w:hAnsi="宋体" w:cs="Times New Roman"/>
          <w:color w:val="000000"/>
          <w:kern w:val="2"/>
          <w:sz w:val="24"/>
          <w:szCs w:val="20"/>
        </w:rPr>
        <w:lastRenderedPageBreak/>
        <w:t>但实践中却沦为部分票据出卖方在未获得票款情形下,通过伪报票据丧失事实申请公示催告、阻止合法持票人行使票据权利的工具。对此,民事诉讼法司法解释已经作出了相应规定。适用时,应当区别付款人是否已经付款等情形,作出不同认定:</w:t>
      </w:r>
    </w:p>
    <w:p w14:paraId="55F74EA9"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(1)在除权判决作出后,付款人尚未付款的情况下,最后合法持票人可以根据《民事诉讼法》第223条的规定,在法定期限内请求撤销除权判决,待票据恢复效力后再依法行使票据权利。最后合法持票人也可以基于基础法律关系向其直接前手退票并请求其直接前手另行给付基础法律关系项下的对价。</w:t>
      </w:r>
    </w:p>
    <w:p w14:paraId="0B919179"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(2)除权判决作出后,付款人已经付款的,因恶意申请公示催告并持除权判决获得票款的行为损害了最后合法持票人的权利,最后合法持票人请求申请人承担侵权损害赔偿责任的,人民法院依法予以支持。</w:t>
      </w:r>
    </w:p>
    <w:p w14:paraId="6A868DE5" w14:textId="77777777" w:rsidR="007911E7" w:rsidRPr="007F07FF" w:rsidRDefault="007911E7" w:rsidP="007F07FF">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7F07FF">
        <w:rPr>
          <w:rFonts w:ascii="黑体" w:eastAsia="黑体" w:hAnsi="黑体" w:cs="黑体"/>
          <w:color w:val="000000"/>
          <w:kern w:val="2"/>
          <w:sz w:val="26"/>
          <w:szCs w:val="26"/>
        </w:rPr>
        <w:t>十、关于破产纠纷案件的审理</w:t>
      </w:r>
    </w:p>
    <w:p w14:paraId="46FE7A36"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认为,审理好破产案件对于推动高质量发展、深化供给侧结构性改革、营造稳定公平透明可预期的营商环境,具有十分重要的意义。要继续深入推进破产审判工作的市场化、法治化、专业化、信息化,充分发挥破产审判公平清理债权债务、促进优胜劣汰、优化资源配置、维护市场经济秩序等重要功能。一是要继续加大对破产保护理念的宣传和落实,及时发挥破产重整制度的积极拯救功能,通过平衡债权人、债务人、出资人、员工等利害关系人的利益,实现社会整体价值最大化;注重发挥和解程序简便快速清理债权债务关系的功能,鼓励当事人通过和解程序或者达成自行和解的方式实现各方利益共赢;积极推进清算程序中的企业整体处置方式,有效维护企业营运价值和职工就业。二是要推进不符合国家产业政策、丧失经营价值的企业主体尽快从市场退出,通过依法简化破产清算程序流程加快对“僵尸企业”的清理。三是要注重提升破产制度实施的经济效益,降低破产程序运行的时间和成本,有效维护企业营运价值,最大程度发挥各类要素和资源潜力,减少企业破产给社会经济造成的损害。四是要积极稳妥进行实践探索,加强理论研究,分步骤、有重点地推进建立自然人破产制度,进一步推动健全市场主体退出制度。</w:t>
      </w:r>
    </w:p>
    <w:p w14:paraId="2BA3324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107.</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继续推动破产案件的及时受理】充分发挥破产重整案件信息网的线上预约登记功能,提高破产案件的受理效率。当事人提出破产申请的,人民法院不得以非法定理由拒绝接收破产申请材料。如果可能影响社会稳定的,要加强府院协调,制定相应预案,但不应当以“影响社会稳定”之名,行消极不作为之实。破产申请材料不完备的,立案部门应当告知当事人在指定期限内补充材料,待材料齐备后以“破申”作为案件类型代字编制案号登记立案,并及时将案件移送破产审判部门进行破产审查。</w:t>
      </w:r>
    </w:p>
    <w:p w14:paraId="2ECD6ECB"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注重发挥破产和解制度简便快速清理债权债务关系的功能,债务人根据《企业破产法》第95条的规定,直接提出和解申请,或者在破产申请受理后宣告破产前申请和解的,人民法院应当</w:t>
      </w:r>
      <w:r w:rsidRPr="007F07FF">
        <w:rPr>
          <w:rFonts w:ascii="宋体" w:eastAsia="宋体" w:hAnsi="宋体" w:cs="Times New Roman"/>
          <w:color w:val="000000"/>
          <w:kern w:val="2"/>
          <w:sz w:val="24"/>
          <w:szCs w:val="20"/>
        </w:rPr>
        <w:lastRenderedPageBreak/>
        <w:t>依法受理并及时作出是否批准的裁定。</w:t>
      </w:r>
    </w:p>
    <w:p w14:paraId="1A202BC7"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108.</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破产申请的不予受理和撤回】人民法院裁定受理破产申请前,提出破产申请的债权人的债权因清偿或者其他原因消灭的,因申请人不再具备申请资格,人民法院应当裁定不予受理。但该裁定不影响其他符合条件的主体再次提出破产申请。破产申请受理后,管理人以上述清偿符合《企业破产法》第31条、第32条为由请求撤销的,人民法院查实后应当予以支持。</w:t>
      </w:r>
    </w:p>
    <w:p w14:paraId="5F3C3673"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人民法院裁定受理破产申请系对债务人具有破产原因的初步认可,破产申请受理后,申请人请求撤回破产申请的,人民法院不予准许。除非存在《企业破产法》第12条第2款规定的情形,人民法院不得裁定驳回破产申请。</w:t>
      </w:r>
    </w:p>
    <w:p w14:paraId="2401CCB8"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109.</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受理后债务人财产保全措施的处理】要切实落实破产案件受理后相关保全措施应予解除、相关执行措施应当中止、债务人财产应当及时交付管理人等规定,充分运用信息化技术手段,通过信息共享与整合,维护债务人财产的完整性。相关人民法院拒不解除保全措施或者拒不中止执行的,破产受理人民法院可以请求该法院的上级人民法院依法予以纠正。对债务人财产采取保全措施或者执行措施的人民法院未依法及时解除保全措施、移交处置权,或者中止执行程序并移交有关财产的,上级人民法院应当依法予以纠正。相关人员违反上述规定造成严重后果的,破产受理人民法院可以向人民法院纪检监察部门移送其违法审判责任线索。</w:t>
      </w:r>
    </w:p>
    <w:p w14:paraId="74177ABE"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人民法院审理企业破产案件时,有关债务人财产被其他具有强制执行权力的国家行政机关,包括税务机关、公安机关、海关等采取保全措施或者执行程序的,人民法院应当积极与上述机关进行协调和沟通,取得有关机关的配合,参照上述具体操作规程,解除有关保全措施,中止有关执行程序,以便保障破产程序顺利进行。</w:t>
      </w:r>
    </w:p>
    <w:p w14:paraId="43CCCB4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110.</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受理后有关债务人诉讼的处理】人民法院受理破产申请后,已经开始而尚未终结的有关债务人的民事诉讼,在管理人接管债务人财产和诉讼事务后继续进行。债权人已经对债务人提起的给付之诉,破产申请受理后,人民法院应当继续审理,但是在判定相关当事人实体权利义务时,应当注意与企业破产法及其司法解释的规定相协调。</w:t>
      </w:r>
    </w:p>
    <w:p w14:paraId="22A0219D"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上述裁判作出并生效前,债权人可以同时向管理人申报债权,但其作为债权尚未确定的债权人,原则上不得行使表决权,除非人民法院临时确定其债权额。上述裁判生效后,债权人应当根据裁判认定的债权数额在破产程序中依法统一受偿,其对债务人享有的债权利息应当按照《企业破产法》第46条第2款的规定停止计算。</w:t>
      </w:r>
    </w:p>
    <w:p w14:paraId="7436594D"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人民法院受理破产申请后,债权人新提起的要求债务人清偿的民事诉讼,人民法院不予受理,同时告知债权人应当向管理人申报债权。债权人申报债权后,对管理人编制的债权表记载有异议的,可以根据《企业破产法》第58条的规定提起债权确认之诉。</w:t>
      </w:r>
    </w:p>
    <w:p w14:paraId="640CD3E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111.</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【债务人自行管理的条件】重整期间,债务人同时符合下列条件的,经申请,人民法院可以批准债务人在管理人的监督下自行管理财产和营业事务:</w:t>
      </w:r>
    </w:p>
    <w:p w14:paraId="5B2B667E"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(1)债务人的内部治理机制仍正常运转;</w:t>
      </w:r>
    </w:p>
    <w:p w14:paraId="2B07D47B"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lastRenderedPageBreak/>
        <w:t>(2)债务人自行管理有利于债务人继续经营;</w:t>
      </w:r>
    </w:p>
    <w:p w14:paraId="666F2AF4"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(3)债务人不存在隐匿、转移财产的行为;</w:t>
      </w:r>
    </w:p>
    <w:p w14:paraId="51CFBC4A"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(4)债务人不存在其他严重损害债权人利益的行为。</w:t>
      </w:r>
    </w:p>
    <w:p w14:paraId="29774112"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债务人提出重整申请时可以一并提出自行管理的申请。经人民法院批准由债务人自行管理财产和营业事务的,企业破产法规定的管理人职权中有关财产管理和营业经营的职权应当由债务人行使。</w:t>
      </w:r>
    </w:p>
    <w:p w14:paraId="5F080F60"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管理人应当对债务人的自行管理行为进行监督。管理人发现债务人存在严重损害债权人利益的行为或者有其他不适宜自行管理情形的,可以申请人民法院作出终止债务人自行管理的决定。人民法院决定终止的,应当通知管理人接管债务人财产和营业事务。债务人有上述行为而管理人未申请人民法院作出终止决定的,债权人等利害关系人可以向人民法院提出申请。</w:t>
      </w:r>
    </w:p>
    <w:p w14:paraId="5342CCC9"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112.</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重整中担保物权的恢复行使】重整程序中,要依法平衡保护担保物权人的合法权益和企业重整价值。重整申请受理后,管理人或者自行管理的债务人应当及时确定设定有担保物权的债务人财产是否为重整所必需。如果认为担保物不是重整所必需,管理人或者自行管理的债务人应当及时对担保物进行拍卖或者变卖,拍卖或者变卖担保物所得价款在支付拍卖、变卖费用后优先清偿担保物权人的债权。</w:t>
      </w:r>
    </w:p>
    <w:p w14:paraId="44B71EF9"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在担保物权暂停行使期间,担保物权人根据《企业破产法》第75条的规定向人民法院请求恢复行使担保物权的,人民法院应当自收到恢复行使担保物权申请之日起三十日内作出裁定。经审查,担保物权人的申请不符合第75条的规定,或者虽然符合该条规定但管理人或者自行管理的债务人有证据证明担保物是重整所必需,并且提供与减少价值相应担保或者补偿的,人民法院应当裁定不予批准恢复行使担保物权。担保物权人不服该裁定的,可以自收到裁定书之日起十日内,向作出裁定的人民法院申请复议。人民法院裁定批准行使担保物权的,管理人或者自行管理的债务人应当自收到裁定书之日起十五日内启动对担保物的拍卖或者变卖,拍卖或者变卖担保物所得价款在支付拍卖、变卖费用后优先清偿担保物权人的债权。</w:t>
      </w:r>
    </w:p>
    <w:p w14:paraId="402C1C23"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113.</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重整计划监督期间的管理人报酬及诉讼管辖】要依法确保重整计划的执行和有效监督。重整计划的执行期间和监督期间原则上应当一致。二者不一致的,人民法院在确定和调整重整程序中的管理人报酬方案时,应当根据重整期间和重整计划监督期间管理人工作量的不同予以区别对待。其中,重整期间的管理人报酬应当根据管理人对重整发挥的实际作用等因素予以确定和支付;重整计划监督期间管理人报酬的支付比例和支付时间,应当根据管理人监督职责的履行情况,与债权人按照重整计划实际受偿比例和受偿时间相匹配。</w:t>
      </w:r>
    </w:p>
    <w:p w14:paraId="774030D8"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重整计划执行期间,因重整程序终止后新发生的事实或者事件引发的有关债务人的民事诉讼,不适用《企业破产法》第21条有关集中管辖的规定。除重整计划有明确约定外,上述纠纷引发的诉讼,不再由管理人代表债务人进行。</w:t>
      </w:r>
    </w:p>
    <w:p w14:paraId="749ECF45"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114.</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【重整程序与破产清算程序的衔接】重整期间或者重整计划执行期间,债务人因法</w:t>
      </w:r>
      <w:r w:rsidRPr="007F07FF">
        <w:rPr>
          <w:rFonts w:ascii="宋体" w:eastAsia="宋体" w:hAnsi="宋体" w:cs="Times New Roman"/>
          <w:color w:val="000000"/>
          <w:kern w:val="2"/>
          <w:sz w:val="24"/>
          <w:szCs w:val="20"/>
        </w:rPr>
        <w:lastRenderedPageBreak/>
        <w:t>定事由被宣告破产的,人民法院不再另立新的案号,原重整程序的管理人原则上应当继续履行破产清算程序中的职责。原重整程序的管理人不能继续履行职责或者不适宜继续担任管理人的,人民法院应当依法重新指定管理人。</w:t>
      </w:r>
    </w:p>
    <w:p w14:paraId="0B826D33"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重整程序转破产清算案件中的管理人报酬,应当综合管理人为重整工作和清算工作分别发挥的实际作用等因素合理确定。重整期间因法定事由转入破产清算程序的,应当按照破产清算案件确定管理人报酬。重整计划执行期间因法定事由转入破产清算程序的,后续破产清算阶段的管理人报酬应当根据管理人实际工作量予以确定,不能简单根据债务人最终清偿的财产价值总额计算。</w:t>
      </w:r>
    </w:p>
    <w:p w14:paraId="25A3FCFE"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重整程序因人民法院裁定批准重整计划草案而终止的,重整案件可作结案处理。重整计划执行完毕后,人民法院可以根据管理人等利害关系人申请,作出重整程序终结的裁定。</w:t>
      </w:r>
    </w:p>
    <w:p w14:paraId="1F2D7058"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115.</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庭外重组协议效力在重整程序中的延伸】继续完善庭外重组与庭内重整的衔接机制,降低制度性成本,提高破产制度效率。人民法院受理重整申请前,债务人和部分债权人已经达成的有关协议与重整程序中制作的重整计划草案内容一致的,有关债权人对该协议的同意视为对该重整计划草案表决的同意。但重整计划草案对协议内容进行了修改并对有关债权人有不利影响,或者与有关债权人重大利益相关的,受到影响的债权人有权按照企业破产法的规定对重整计划草案重新进行表决。</w:t>
      </w:r>
    </w:p>
    <w:p w14:paraId="2D3BB22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116.</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审计、评估等中介机构的确定及责任】要合理区分人民法院和管理人在委托审计、评估等财产管理工作中的职责。破产程序中确实需要聘请中介机构对债务人财产进行审计、评估的,根据《企业破产法》第28条的规定,经人民法院许可后,管理人可以自行公开聘请,但是应当对其聘请的中介机构的相关行为进行监督。上述中介机构因不当履行职责给债务人、债权人或者第三人造成损害的,应当承担赔偿责任。管理人在聘用过程中存在过错的,应当在其过错范围内承担相应的补充赔偿责任。</w:t>
      </w:r>
    </w:p>
    <w:p w14:paraId="662ED90F"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117.</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公司解散清算与破产清算的衔接】要依法区分公司解散清算与破产清算的不同功能和不同适用条件。债务人同时符合破产清算条件和强制清算条件的,应当及时适用破产清算程序实现对债权人利益的公平保护。债权人对符合破产清算条件的债务人提起公司强制清算申请,经人民法院释明,债权人仍然坚持申请对债务人强制清算的,人民法院应当裁定不予受理。</w:t>
      </w:r>
    </w:p>
    <w:p w14:paraId="2E4A128E"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118.</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无法清算案件的审理与责任承担】人民法院在审理债务人相关人员下落不明或者财产状况不清的破产案件时,应当充分贯彻债权人利益保护原则,避免债务人通过破产程序不当损害债权人利益,同时也要避免不当突破股东有限责任原则。</w:t>
      </w:r>
    </w:p>
    <w:p w14:paraId="6AB69FF5"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人民法院在适用《最高人民法院关于债权人对人员下落不明或者财产状况不清的债务人申请破产清算案件如何处理的批复》第3款的规定,判定债务人相关人员承担责任时,应当依照企业破产法的相关规定来确定相关主体的义务内容和责任范围,不得根据公司法司法解释(二)第18条第2款的规定来判定相关主体的责任。</w:t>
      </w:r>
    </w:p>
    <w:p w14:paraId="7B237A0E"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lastRenderedPageBreak/>
        <w:t>上述批复第3款规定的“债务人的有关人员不履行法定义务,人民法院可依据有关法律规定追究其相应法律责任”,系指债务人的法定代表人、财务管理人员和其他经营管理人员不履行《企业破产法》第15条规定的配合清算义务,人民法院可以根据《企业破产法》第126条、第127条追究其相应法律责任,或者参照《民事诉讼法》第111条的规定,依法拘留,构成犯罪的,依法追究刑事责任;债务人的法定代表人或者实际控制人不配合清算的,人民法院可以依据《出境入境管理法》第12条的规定,对其作出不准出境的决定,以确保破产程序顺利进行。</w:t>
      </w:r>
    </w:p>
    <w:p w14:paraId="1B0E5530"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上述批复第3款规定的“其行为导致无法清算或者造成损失”,系指债务人的有关人员不配合清算的行为导致债务人财产状况不明,或者依法负有清算责任的人未依照《企业破产法》第7条第3款的规定及时履行破产申请义务,导致债务人主要财产、账册、重要文件等灭失,致使管理人无法执行清算职务,给债权人利益造成损害。“有关权利人起诉请求其承担相应民事责任”,系指管理人请求上述主体承担相应损害赔偿责任并将因此获得的赔偿归入债务人财产。管理人未主张上述赔偿,个别债权人可以代表全体债权人提起上述诉讼。</w:t>
      </w:r>
    </w:p>
    <w:p w14:paraId="0FE6CDB6"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上述破产清算案件被裁定终结后,相关主体以债务人主要财产、账册、重要文件等重新出现为由,申请对破产清算程序启动审判监督的,人民法院不予受理,但符合《企业破产法》第123条规定的,债权人可以请求人民法院追加分配。</w:t>
      </w:r>
    </w:p>
    <w:p w14:paraId="246E663B" w14:textId="77777777" w:rsidR="007911E7" w:rsidRPr="007F07FF" w:rsidRDefault="007911E7" w:rsidP="007F07FF">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7F07FF">
        <w:rPr>
          <w:rFonts w:ascii="黑体" w:eastAsia="黑体" w:hAnsi="黑体" w:cs="黑体"/>
          <w:color w:val="000000"/>
          <w:kern w:val="2"/>
          <w:sz w:val="26"/>
          <w:szCs w:val="26"/>
        </w:rPr>
        <w:t>十一、关于案外人救济案件的审理</w:t>
      </w:r>
    </w:p>
    <w:p w14:paraId="3A54B83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案外人救济案件包括案外人申请再审、案外人执行异议之诉和第三人撤销之诉三种类型。修改后的民事诉讼法在保留案外人执行异议之诉及案外人申请再审的基础上,新设立第三人撤销之诉制度,在为案外人权利保障提供更多救济渠道的同时,因彼此之间错综复杂的关系也容易导致认识上的偏差,有必要厘清其相互之间的关系,以便正确适用不同程序,依法充分保护各方主体合法权益。</w:t>
      </w:r>
    </w:p>
    <w:p w14:paraId="5F2C7E42"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119.</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案外人执行异议之诉的审理】案外人执行异议之诉以排除对特定标的物的执行为目的,从程序上而言,案外人依据《民事诉讼法》第227条提出执行异议被驳回的,即可向执行人民法院提起执行异议之诉。人民法院对执行异议之诉的审理,一般应当就案外人对执行标的物是否享有权利、享有什么样的权利、权利是否足以排除强制执行进行判断。至于是否作出具体的确权判项,视案外人的诉讼请求而定。案外人未提出确权或者给付诉讼请求的,不作出确权判项,仅在裁判理由中进行分析判断并作出是否排除执行的判项即可。但案外人既提出确权、给付请求,又提出排除执行请求的,人民法院对该请求是否支持、是否排除执行,均应当在具体判项中予以明确。执行异议之诉不以否定作为执行依据的生效裁判为目的,案外人如认为裁判确有错误的,只能通过申请再审或者提起第三人撤销之诉的方式进行救济。</w:t>
      </w:r>
    </w:p>
    <w:p w14:paraId="48F4871D"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120.</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【债权人能否提起第三人撤销之诉】第三人撤销之诉中的第三人仅局限于《民事诉讼法》第56条规定的有独立请求权及无独立请求权的第三人,而且一般不包括债权人。但是,设</w:t>
      </w:r>
      <w:r w:rsidRPr="007F07FF">
        <w:rPr>
          <w:rFonts w:ascii="宋体" w:eastAsia="宋体" w:hAnsi="宋体" w:cs="Times New Roman"/>
          <w:color w:val="000000"/>
          <w:kern w:val="2"/>
          <w:sz w:val="24"/>
          <w:szCs w:val="20"/>
        </w:rPr>
        <w:lastRenderedPageBreak/>
        <w:t>立第三人撤销之诉的目的在于,救济第三人享有的因不能归责于本人的事由未参加诉讼但因生效裁判文书内容错误受到损害的民事权益,因此,债权人在下列情况下可以提起第三人撤销之诉:</w:t>
      </w:r>
    </w:p>
    <w:p w14:paraId="67F034E8"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(1)该债权是法律明确给予特殊保护的债权,如《合同法》第286条规定的建设工程价款优先受偿权,《海商法》第22条规定的船舶优先权;</w:t>
      </w:r>
    </w:p>
    <w:p w14:paraId="052A8C2A"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(2)因债务人与他人的权利义务被生效裁判文书确定,导致债权人本来可以对《合同法》第74条和《企业破产法》第31条规定的债务人的行为享有撤销权而不能行使的;</w:t>
      </w:r>
    </w:p>
    <w:p w14:paraId="4C4FDF9A"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(3)债权人有证据证明,裁判文书主文确定的债权内容部分或者全部虚假的。</w:t>
      </w:r>
    </w:p>
    <w:p w14:paraId="2F420790"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债权人提起第三人撤销之诉还要符合法律和司法解释规定的其他条件。对于除此之外的其他债权,债权人原则上不得提起第三人撤销之诉。</w:t>
      </w:r>
    </w:p>
    <w:p w14:paraId="1328F961"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121.</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必要共同诉讼漏列的当事人申请再审】民事诉讼法司法解释对必要共同诉讼漏列的当事人申请再审规定了两种不同的程序,二者在管辖法院及申请再审期限的起算点上存在明显差别,人民法院在审理相关案件时应予注意:</w:t>
      </w:r>
    </w:p>
    <w:p w14:paraId="25F3BE74"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(1)该当事人在执行程序中以案外人身份提出异议,异议被驳回的,根据民事诉讼法司法解释第423条的规定,其可以在驳回异议裁定送达之日起6个月内向原审人民法院申请再审;</w:t>
      </w:r>
    </w:p>
    <w:p w14:paraId="12DE352C"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(2)该当事人未在执行程序中以案外人身份提出异议的,根据民事诉讼法司法解释第422条的规定,其可以根据《民事诉讼法》第200条第8项的规定,自知道或者应当知道生效裁判之日起6个月内向上一级人民法院申请再审。当事人一方人数众多或者当事人双方为公民的案件,也可以向原审人民法院申请再审。</w:t>
      </w:r>
    </w:p>
    <w:p w14:paraId="71AA81F8"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122.</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程序启动后案外人不享有程序选择权】案外人申请再审与第三人撤销之诉功能上近似,如果案外人既有申请再审的权利,又符合第三人撤销之诉的条件,对于案外人是否可以行使选择权,民事诉讼法司法解释采取了限制的司法态度,即依据民事诉讼法司法解释第303条的规定,按照启动程序的先后,案外人只能选择相应的救济程序:案外人先启动执行异议程序的,对执行异议裁定不服,认为原裁判内容错误损害其合法权益的,只能向作出原裁判的人民法院申请再审,而不能提起第三人撤销之诉;案外人先启动了第三人撤销之诉,即便在执行程序中又提出执行异议,也只能继续进行第三人撤销之诉,而不能依《民事诉讼法》第227条申请再审。</w:t>
      </w:r>
    </w:p>
    <w:p w14:paraId="3548EEA5"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123.</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案外人依据另案生效裁判对非金钱债权的执行提起执行异议之诉】审判实践中,案外人有时依据另案生效裁判所认定的与执行标的物有关的权利提起执行异议之诉,请求排除对标的物的执行。此时,鉴于作为执行依据的生效裁判与作为案外人提出执行异议依据的生效裁判,均涉及对同一标的物权属或给付的认定,性质上属于两个生效裁判所认定的权利之间可能产生的冲突,人民法院在审理执行异议之诉时,需区别不同情况作出判断:如果作为执行依据的生效裁判是确权裁判,不论作为执行异议依据的裁判是确权裁判还是给付裁判,一般不应据此排除执行,但人民法院应当告知案外人对作为执行依据的确权裁判申请再审;如果作为执行</w:t>
      </w:r>
      <w:r w:rsidRPr="007F07FF">
        <w:rPr>
          <w:rFonts w:ascii="宋体" w:eastAsia="宋体" w:hAnsi="宋体" w:cs="Times New Roman"/>
          <w:color w:val="000000"/>
          <w:kern w:val="2"/>
          <w:sz w:val="24"/>
          <w:szCs w:val="20"/>
        </w:rPr>
        <w:lastRenderedPageBreak/>
        <w:t>依据的生效裁判是给付标的物的裁判,而作为提出异议之诉依据的裁判是确权裁判,一般应据此排除执行,此时人民法院应告知其对该确权裁判申请再审;如果两个裁判均属给付标的物的裁判,人民法院需依法判断哪个裁判所认定的给付权利具有优先性,进而判断是否可以排除执行。</w:t>
      </w:r>
    </w:p>
    <w:p w14:paraId="49F80AF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124.</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案外人依据另案生效裁判对金钱债权的执行提起执行异议之诉】作为执行依据的生效裁判并未涉及执行标的物,只是执行中为实现金钱债权对特定标的物采取了执行措施。对此种情形,《最高人民法院关于人民法院办理执行异议和复议案件若干问题的规定》第26条规定了解决案外人执行异议的规则,在审理执行异议之诉时可以参考适用。依据该条规定,作为案外人提起执行异议之诉依据的裁判将执行标的物确权给案外人,可以排除执行;作为案外人提起执行异议之诉依据的裁判,未将执行标的物确权给案外人,而是基于不以转移所有权为目的的有效合同(如租赁、借用、保管合同),判令向案外人返还执行标的物的,其性质属于物权请求权,亦可以排除执行;基于以转移所有权为目的有效合同(如买卖合同),判令向案外人交付标的物的,其性质属于债权请求权,不能排除执行。</w:t>
      </w:r>
    </w:p>
    <w:p w14:paraId="4BCA0D42"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应予注意的是,在金钱债权执行中,如果案外人提出执行异议之诉依据的生效裁判认定以转移所有权为目的的合同(如买卖合同)无效或应当解除,进而判令向案外人返还执行标的物的,此时案外人享有的是物权性质的返还请求权,本可排除金钱债权的执行,但在双务合同无效的情况下,双方互负返还义务,在案外人未返还价款的情况下,如果允许其排除金钱债权的执行,将会使申请执行人既执行不到被执行人名下的财产,又执行不到本应返还给被执行人的价款,显然有失公允。为平衡各方当事人的利益,只有在案外人已经返还价款的情况下,才能排除普通债权人的执行。反之,案外人未返还价款的,不能排除执行。</w:t>
      </w:r>
    </w:p>
    <w:p w14:paraId="216B8128"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125.</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案外人系商品房消费者】实践中,商品房消费者向房地产开发企业购买商品房,往往没有及时办理房地产过户手续。房地产开发企业因欠债而被强制执行,人民法院在对尚登记在房地产开发企业名下但已出卖给消费者的商品房采取执行措施时,商品房消费者往往会提出执行异议,以排除强制执行。对此,《最高人民法院关于人民法院办理执行异议和复议案件若干问题的规定》第29条规定,符合下列情形的,应当支持商品房消费者的诉讼请求:一是在人民法院查封之前已签订合法有效的书面买卖合同;二是所购商品房系用于居住且买受人名下无其他用于居住的房屋;三是已支付的价款超过合同约定总价款的百分之五十。人民法院在审理执行异议之诉案件时,可参照适用此条款。</w:t>
      </w:r>
    </w:p>
    <w:p w14:paraId="3446AFC0"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问题是,对于其中“所购商品房系用于居住且买受人名下无其他用于居住的房屋”如何理解,审判实践中掌握的标准不一。“买受人名下无其他用于居住的房屋”,可以理解为在案涉房屋同一设区的市或者县级市范围内商品房消费者名下没有用于居住的房屋。商品房消费者名下虽然已有1套房屋,但购买的房屋在面积上仍然属于满足基本居住需要的,可以理解为符合该规定的精神。</w:t>
      </w:r>
    </w:p>
    <w:p w14:paraId="16D138E3"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lastRenderedPageBreak/>
        <w:t>对于其中“已支付的价款超过合同约定总价款的百分之五十”如何理解,审判实践中掌握的标准也不一致。如果商品房消费者支付的价款接近于百分之五十,且已按照合同约定将剩余价款支付给申请执行人或者按照人民法院的要求交付执行的,可以理解为符合该规定的精神。</w:t>
      </w:r>
    </w:p>
    <w:p w14:paraId="738011A9"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126.</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商品房消费者的权利与抵押权的关系】根据《最高人民法院关于建设工程价款优先受偿权问题的批复》第1条、第2条的规定,交付全部或者大部分款项的商品房消费者的权利优先于抵押权人的抵押权,故抵押权人申请执行登记在房地产开发企业名下但已销售给消费者的商品房,消费者提出执行异议的,人民法院依法予以支持。但应当特别注意的是,此情况是针对实践中存在的商品房预售不规范现象为保护消费者生存权而作出的例外规定,必须严格把握条件,避免扩大范围,以免动摇抵押权具有优先性的基本原则。因此,这里的商品房消费者应当仅限于符合本纪要第125条规定的商品房消费者。买受人不是本纪要第125条规定的商品房消费者,而是一般的房屋买卖合同的买受人,不适用上述处理规则。</w:t>
      </w:r>
    </w:p>
    <w:p w14:paraId="13327F40"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127.</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案外人系商品房消费者之外的一般买受人】金钱债权执行中,商品房消费者之外的一般买受人对登记在被执行人名下的不动产提出异议,请求排除执行的,《最高人民法院关于人民法院办理执行异议和复议案件若干问题的规定》第28条规定,符合下列情形的依法予以支持:一是在人民法院查封之前已签订合法有效的书面买卖合同;二是在人民法院查封之前已合法占有该不动产;三是已支付全部价款,或者已按照合同约定支付部分价款且将剩余价款按照人民法院的要求交付执行;四是非因买受人自身原因未办理过户登记。人民法院在审理执行异议之诉案件时,可参照适用此条款。</w:t>
      </w:r>
    </w:p>
    <w:p w14:paraId="134881A9"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实践中,对于该规定的前3个条件,理解并无分歧。对于其中的第4个条件,理解不一致。一般而言,买受人只要有向房屋登记机构递交过户登记材料,或向出卖人提出了办理过户登记的请求等积极行为的,可以认为符合该条件。买受人无上述积极行为,其未办理过户登记有合理的客观理由的,亦可认定符合该条件。</w:t>
      </w:r>
    </w:p>
    <w:p w14:paraId="5FA2E7D7" w14:textId="77777777" w:rsidR="007911E7" w:rsidRPr="007F07FF" w:rsidRDefault="007911E7" w:rsidP="007F07FF">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bookmarkStart w:id="0" w:name="_GoBack"/>
      <w:r w:rsidRPr="007F07FF">
        <w:rPr>
          <w:rFonts w:ascii="黑体" w:eastAsia="黑体" w:hAnsi="黑体" w:cs="黑体"/>
          <w:color w:val="000000"/>
          <w:kern w:val="2"/>
          <w:sz w:val="26"/>
          <w:szCs w:val="26"/>
        </w:rPr>
        <w:t>十二、关于民刑交叉案件的程序处理</w:t>
      </w:r>
    </w:p>
    <w:bookmarkEnd w:id="0"/>
    <w:p w14:paraId="07A50CD5"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会议认为,近年来,在民间借贷、P2P等融资活动中,与涉嫌诈骗、合同诈骗、票据诈骗、集资诈骗、非法吸收公众存款等犯罪有关的民商事案件的数量有所增加,出现了一些新情况和新问题。在审理案件时,应当依照《最高人民法院关于在审理经济纠纷案件中涉及经济犯罪嫌疑若干问题的规定》《最高人民法院关于审理非法集资刑事案件具体应用法律若干问题的解释》《最高人民法院最高人民检察院公安部关于办理非法集资刑事案件适用法律若干问题的意见》以及民间借贷司法解释等规定,处理好民刑交叉案件之间的程序关系。</w:t>
      </w:r>
    </w:p>
    <w:p w14:paraId="61EA062B"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128.</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【分别审理】同一当事人因不同事实分别发生民商事纠纷和涉嫌刑事犯罪,民商事案件与刑事案件应当分别审理,主要有下列情形:</w:t>
      </w:r>
    </w:p>
    <w:p w14:paraId="69FB81B3"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(1)主合同的债务人涉嫌刑事犯罪或者刑事裁判认定其构成犯罪,债权人请求担保人承担</w:t>
      </w:r>
      <w:r w:rsidRPr="007F07FF">
        <w:rPr>
          <w:rFonts w:ascii="宋体" w:eastAsia="宋体" w:hAnsi="宋体" w:cs="Times New Roman"/>
          <w:color w:val="000000"/>
          <w:kern w:val="2"/>
          <w:sz w:val="24"/>
          <w:szCs w:val="20"/>
        </w:rPr>
        <w:lastRenderedPageBreak/>
        <w:t>民事责任的;</w:t>
      </w:r>
    </w:p>
    <w:p w14:paraId="70ABA74F"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(2)行为人以法人、非法人组织或者他人名义订立合同的行为涉嫌刑事犯罪或者刑事裁判认定其构成犯罪,合同相对人请求该法人、非法人组织或者他人承担民事责任的;</w:t>
      </w:r>
    </w:p>
    <w:p w14:paraId="043E8880"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(3)法人或者非法人组织的法定代表人、负责人或者其他工作人员的职务行为涉嫌刑事犯罪或者刑事裁判认定其构成犯罪,受害人请求该法人或者非法人组织承担民事责任的;</w:t>
      </w:r>
    </w:p>
    <w:p w14:paraId="6E074148"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(4)侵权行为人涉嫌刑事犯罪或者刑事裁判认定其构成犯罪,被保险人、受益人或者其他赔偿权利人请求保险人支付保险金的;</w:t>
      </w:r>
    </w:p>
    <w:p w14:paraId="27605C7F"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(5)受害人请求涉嫌刑事犯罪的行为人之外的其他主体承担民事责任的。</w:t>
      </w:r>
    </w:p>
    <w:p w14:paraId="36C938FF"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审判实践中出现的问题是,在上述情形下,有的人民法院仍然以民商事案件涉嫌刑事犯罪为由不予受理,已经受理的,裁定驳回起诉。对此,应予纠正。</w:t>
      </w:r>
    </w:p>
    <w:p w14:paraId="609C65B4"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129.</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涉众型经济犯罪与民商事案件的程序处理】2014年颁布实施的《最高人民法院最高人民检察院公安部关于办理非法集资刑事案件适用法律若干问题的意见》和2019年1月颁布实施的《最高人民法院最高人民检察院公安部关于办理非法集资刑事案件若干问题的意见》规定的涉嫌集资诈骗、非法吸收公众存款等涉众型经济犯罪,所涉人数众多、当事人分布地域广、标的额特别巨大、影响范围广,严重影响社会稳定,对于受害人就同一事实提起的以犯罪嫌疑人或者刑事被告人为被告的民事诉讼,人民法院应当裁定不予受理,并将有关材料移送侦查机关、检察机关或者正在审理该刑事案件的人民法院。受害人的民事权利保护应当通过刑事追赃、退赔的方式解决。正在审理民商事案件的人民法院发现有上述涉众型经济犯罪线索的,应当及时将犯罪线索和有关材料移送侦查机关。侦查机关作出立案决定前,人民法院应当中止审理;作出立案决定后,应当裁定驳回起诉;侦查机关未及时立案的,人民法院必要时可以将案件报请党委政法委协调处理。除上述情形人民法院不予受理外,要防止通过刑事手段干预民商事审判,搞地方保护,影响营商环境。</w:t>
      </w:r>
    </w:p>
    <w:p w14:paraId="6AF686C6" w14:textId="77777777" w:rsidR="00E4508E" w:rsidRPr="007F07FF" w:rsidRDefault="007911E7" w:rsidP="007F07FF">
      <w:pPr>
        <w:widowControl w:val="0"/>
        <w:overflowPunct w:val="0"/>
        <w:autoSpaceDE w:val="0"/>
        <w:autoSpaceDN w:val="0"/>
        <w:adjustRightInd w:val="0"/>
        <w:snapToGrid w:val="0"/>
        <w:spacing w:beforeLines="0" w:before="0" w:line="324" w:lineRule="auto"/>
        <w:ind w:firstLine="480"/>
        <w:jc w:val="both"/>
        <w:rPr>
          <w:rFonts w:ascii="宋体" w:eastAsia="宋体" w:hAnsi="宋体" w:cs="Times New Roman"/>
          <w:color w:val="000000"/>
          <w:kern w:val="2"/>
          <w:sz w:val="24"/>
          <w:szCs w:val="20"/>
        </w:rPr>
      </w:pPr>
      <w:r w:rsidRPr="007F07FF">
        <w:rPr>
          <w:rFonts w:ascii="宋体" w:eastAsia="宋体" w:hAnsi="宋体" w:cs="Times New Roman"/>
          <w:color w:val="000000"/>
          <w:kern w:val="2"/>
          <w:sz w:val="24"/>
          <w:szCs w:val="20"/>
        </w:rPr>
        <w:t>当事人因租赁、买卖、金融借款等与上述涉众型经济犯罪无关的民事纠纷,请求上述主体承担民事责任的,人民法院应予受理。</w:t>
      </w:r>
    </w:p>
    <w:p w14:paraId="0E9D58B6" w14:textId="77777777" w:rsidR="007911E7" w:rsidRPr="007F07FF" w:rsidRDefault="007911E7" w:rsidP="007F07FF">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7F07FF">
        <w:rPr>
          <w:rFonts w:ascii="宋体" w:eastAsia="宋体" w:hAnsi="宋体" w:cs="Times New Roman"/>
          <w:b/>
          <w:bCs/>
          <w:color w:val="000000"/>
          <w:kern w:val="2"/>
          <w:sz w:val="24"/>
          <w:szCs w:val="20"/>
        </w:rPr>
        <w:t>130.</w:t>
      </w:r>
      <w:r w:rsidRPr="007F07FF">
        <w:rPr>
          <w:rFonts w:ascii="宋体" w:eastAsia="宋体" w:hAnsi="宋体" w:cs="Times New Roman"/>
          <w:bCs/>
          <w:color w:val="000000"/>
          <w:kern w:val="2"/>
          <w:sz w:val="24"/>
          <w:szCs w:val="20"/>
        </w:rPr>
        <w:t xml:space="preserve">　</w:t>
      </w:r>
      <w:r w:rsidRPr="007F07FF">
        <w:rPr>
          <w:rFonts w:ascii="宋体" w:eastAsia="宋体" w:hAnsi="宋体" w:cs="Times New Roman"/>
          <w:color w:val="000000"/>
          <w:kern w:val="2"/>
          <w:sz w:val="24"/>
          <w:szCs w:val="20"/>
        </w:rPr>
        <w:t>【民刑交叉案件中民商事案件中止审理的条件】人民法院在审理民商事案件时,如果民商事案件必须以相关刑事案件的审理结果为依据,而刑事案件尚未审结的,应当根据《民事诉讼法》第150条第5项的规定裁定中止诉讼。待刑事案件审结后,再恢复民商事案件的审理。如果民商事案件不是必须以相关的刑事案件的审理结果为依据,则民商事案件应当继续审理。</w:t>
      </w:r>
    </w:p>
    <w:sectPr w:rsidR="007911E7" w:rsidRPr="007F07FF"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D1DFA" w14:textId="77777777" w:rsidR="009505A2" w:rsidRDefault="009505A2" w:rsidP="007134C7">
      <w:pPr>
        <w:spacing w:before="120"/>
        <w:ind w:firstLine="420"/>
      </w:pPr>
      <w:r>
        <w:separator/>
      </w:r>
    </w:p>
    <w:p w14:paraId="1093F250" w14:textId="77777777" w:rsidR="009505A2" w:rsidRDefault="009505A2" w:rsidP="007134C7">
      <w:pPr>
        <w:spacing w:before="120"/>
        <w:ind w:firstLine="420"/>
      </w:pPr>
    </w:p>
  </w:endnote>
  <w:endnote w:type="continuationSeparator" w:id="0">
    <w:p w14:paraId="6C314D97" w14:textId="77777777" w:rsidR="009505A2" w:rsidRDefault="009505A2" w:rsidP="007134C7">
      <w:pPr>
        <w:spacing w:before="120"/>
        <w:ind w:firstLine="420"/>
      </w:pPr>
      <w:r>
        <w:continuationSeparator/>
      </w:r>
    </w:p>
    <w:p w14:paraId="3A7A969D" w14:textId="77777777" w:rsidR="009505A2" w:rsidRDefault="009505A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 w:name="方正小标宋_GBK">
    <w:altName w:val="微软雅黑"/>
    <w:panose1 w:val="020B0604020202020204"/>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24C73" w14:textId="77777777" w:rsidR="009505A2" w:rsidRDefault="009505A2" w:rsidP="007134C7">
      <w:pPr>
        <w:spacing w:before="120"/>
        <w:ind w:firstLine="420"/>
      </w:pPr>
      <w:r>
        <w:separator/>
      </w:r>
    </w:p>
    <w:p w14:paraId="18CBAAA7" w14:textId="77777777" w:rsidR="009505A2" w:rsidRDefault="009505A2" w:rsidP="007134C7">
      <w:pPr>
        <w:spacing w:before="120"/>
        <w:ind w:firstLine="420"/>
      </w:pPr>
    </w:p>
  </w:footnote>
  <w:footnote w:type="continuationSeparator" w:id="0">
    <w:p w14:paraId="3B323019" w14:textId="77777777" w:rsidR="009505A2" w:rsidRDefault="009505A2" w:rsidP="007134C7">
      <w:pPr>
        <w:spacing w:before="120"/>
        <w:ind w:firstLine="420"/>
      </w:pPr>
      <w:r>
        <w:continuationSeparator/>
      </w:r>
    </w:p>
    <w:p w14:paraId="0F6C00D5" w14:textId="77777777" w:rsidR="009505A2" w:rsidRDefault="009505A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8F08" w14:textId="54BB25F9" w:rsidR="00365C3F" w:rsidRDefault="00365C3F" w:rsidP="007F07FF">
    <w:pPr>
      <w:spacing w:before="120"/>
      <w:ind w:firstLine="42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07FF"/>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5A2"/>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phalawyer.cn/ilawregu-search/api/v1/lawregu/redict/53f889f2a1f8c2f383d42e9a0de4f54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47580E-E05B-F44D-942A-0CFDD9C5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38</Pages>
  <Words>6711</Words>
  <Characters>38254</Characters>
  <Application>Microsoft Office Word</Application>
  <DocSecurity>0</DocSecurity>
  <Lines>318</Lines>
  <Paragraphs>89</Paragraphs>
  <ScaleCrop>false</ScaleCrop>
  <Manager/>
  <Company/>
  <LinksUpToDate>false</LinksUpToDate>
  <CharactersWithSpaces>44876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陈瑶星</cp:lastModifiedBy>
  <cp:revision>64</cp:revision>
  <cp:lastPrinted>2018-09-08T01:56:00Z</cp:lastPrinted>
  <dcterms:created xsi:type="dcterms:W3CDTF">2017-10-10T03:02:00Z</dcterms:created>
  <dcterms:modified xsi:type="dcterms:W3CDTF">2020-07-08T01:22:00Z</dcterms:modified>
  <cp:category/>
</cp:coreProperties>
</file>