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1D041" w14:textId="61746219" w:rsidR="002068C9" w:rsidRPr="00070EE2" w:rsidRDefault="002068C9" w:rsidP="00070EE2">
      <w:pPr>
        <w:pStyle w:val="a3"/>
        <w:spacing w:before="0" w:beforeAutospacing="0" w:after="0" w:afterAutospacing="0" w:line="324" w:lineRule="auto"/>
        <w:jc w:val="center"/>
        <w:rPr>
          <w:rStyle w:val="a4"/>
          <w:rFonts w:ascii="方正小标宋_GBK" w:eastAsia="方正小标宋_GBK" w:hAnsi="SimSun"/>
          <w:b w:val="0"/>
          <w:color w:val="000000" w:themeColor="text1"/>
          <w:sz w:val="48"/>
          <w:szCs w:val="48"/>
        </w:rPr>
      </w:pPr>
      <w:r w:rsidRPr="00070EE2">
        <w:rPr>
          <w:rStyle w:val="a4"/>
          <w:rFonts w:ascii="方正小标宋_GBK" w:eastAsia="方正小标宋_GBK" w:hAnsi="SimSun" w:hint="eastAsia"/>
          <w:b w:val="0"/>
          <w:color w:val="000000" w:themeColor="text1"/>
          <w:sz w:val="48"/>
          <w:szCs w:val="48"/>
        </w:rPr>
        <w:t>最高人民法院关于在中级人民法院设立清算与破产审判庭的工作方案</w:t>
      </w:r>
    </w:p>
    <w:p w14:paraId="6B0F0894" w14:textId="66E4EC36" w:rsidR="002068C9" w:rsidRPr="00070EE2" w:rsidRDefault="002068C9" w:rsidP="00070EE2">
      <w:pPr>
        <w:pStyle w:val="a3"/>
        <w:spacing w:before="0" w:beforeAutospacing="0" w:after="0" w:afterAutospacing="0" w:line="324" w:lineRule="auto"/>
        <w:jc w:val="center"/>
        <w:rPr>
          <w:rStyle w:val="a4"/>
          <w:rFonts w:ascii="Kai" w:eastAsia="KaiTi" w:hAnsi="Kai"/>
          <w:b w:val="0"/>
          <w:color w:val="000000" w:themeColor="text1"/>
          <w:sz w:val="30"/>
          <w:szCs w:val="30"/>
        </w:rPr>
      </w:pPr>
      <w:r w:rsidRPr="00070EE2">
        <w:rPr>
          <w:rStyle w:val="a4"/>
          <w:rFonts w:ascii="Kai" w:eastAsia="KaiTi" w:hAnsi="Kai" w:hint="eastAsia"/>
          <w:b w:val="0"/>
          <w:color w:val="000000" w:themeColor="text1"/>
          <w:sz w:val="30"/>
          <w:szCs w:val="30"/>
        </w:rPr>
        <w:t>法</w:t>
      </w:r>
      <w:r w:rsidR="00070EE2" w:rsidRPr="00DD684B">
        <w:rPr>
          <w:rStyle w:val="a4"/>
          <w:rFonts w:ascii="Kai" w:eastAsia="KaiTi" w:hAnsi="Kai"/>
          <w:b w:val="0"/>
          <w:color w:val="000000" w:themeColor="text1"/>
          <w:sz w:val="30"/>
          <w:szCs w:val="30"/>
        </w:rPr>
        <w:t>〔</w:t>
      </w:r>
      <w:r w:rsidR="00070EE2" w:rsidRPr="00DD684B">
        <w:rPr>
          <w:rStyle w:val="a4"/>
          <w:rFonts w:ascii="Kai" w:eastAsia="KaiTi" w:hAnsi="Kai"/>
          <w:b w:val="0"/>
          <w:color w:val="000000" w:themeColor="text1"/>
          <w:sz w:val="30"/>
          <w:szCs w:val="30"/>
        </w:rPr>
        <w:t>2016</w:t>
      </w:r>
      <w:r w:rsidR="00070EE2" w:rsidRPr="00DD684B">
        <w:rPr>
          <w:rStyle w:val="a4"/>
          <w:rFonts w:ascii="Kai" w:eastAsia="KaiTi" w:hAnsi="Kai"/>
          <w:b w:val="0"/>
          <w:color w:val="000000" w:themeColor="text1"/>
          <w:sz w:val="30"/>
          <w:szCs w:val="30"/>
        </w:rPr>
        <w:t>〕</w:t>
      </w:r>
      <w:r w:rsidRPr="00070EE2">
        <w:rPr>
          <w:rStyle w:val="a4"/>
          <w:rFonts w:ascii="Kai" w:eastAsia="KaiTi" w:hAnsi="Kai"/>
          <w:b w:val="0"/>
          <w:color w:val="000000" w:themeColor="text1"/>
          <w:sz w:val="30"/>
          <w:szCs w:val="30"/>
        </w:rPr>
        <w:t>209</w:t>
      </w:r>
      <w:r w:rsidRPr="00070EE2">
        <w:rPr>
          <w:rStyle w:val="a4"/>
          <w:rFonts w:ascii="Kai" w:eastAsia="KaiTi" w:hAnsi="Kai"/>
          <w:b w:val="0"/>
          <w:color w:val="000000" w:themeColor="text1"/>
          <w:sz w:val="30"/>
          <w:szCs w:val="30"/>
        </w:rPr>
        <w:t>号</w:t>
      </w:r>
    </w:p>
    <w:p w14:paraId="3AC91418" w14:textId="77777777" w:rsidR="002068C9" w:rsidRPr="00070EE2" w:rsidRDefault="002068C9" w:rsidP="00070EE2">
      <w:pPr>
        <w:pStyle w:val="a3"/>
        <w:spacing w:before="0" w:beforeAutospacing="0" w:after="0" w:afterAutospacing="0" w:line="560" w:lineRule="exact"/>
        <w:rPr>
          <w:rFonts w:ascii="SimSun" w:eastAsia="SimSun" w:hAnsi="SimSun"/>
          <w:color w:val="000000" w:themeColor="text1"/>
        </w:rPr>
      </w:pPr>
      <w:r w:rsidRPr="00070EE2">
        <w:rPr>
          <w:rFonts w:ascii="SimSun" w:eastAsia="SimSun" w:hAnsi="SimSun" w:hint="eastAsia"/>
          <w:color w:val="000000" w:themeColor="text1"/>
        </w:rPr>
        <w:t> </w:t>
      </w:r>
    </w:p>
    <w:p w14:paraId="4F14C026" w14:textId="77777777" w:rsidR="002068C9" w:rsidRPr="00070EE2" w:rsidRDefault="002068C9" w:rsidP="00070EE2">
      <w:pPr>
        <w:pStyle w:val="a3"/>
        <w:spacing w:before="0" w:beforeAutospacing="0" w:after="0" w:afterAutospacing="0" w:line="560" w:lineRule="exact"/>
        <w:rPr>
          <w:rFonts w:ascii="SimSun" w:eastAsia="SimSun" w:hAnsi="SimSun"/>
          <w:color w:val="000000" w:themeColor="text1"/>
        </w:rPr>
      </w:pPr>
      <w:r w:rsidRPr="00070EE2">
        <w:rPr>
          <w:rFonts w:ascii="SimSun" w:eastAsia="SimSun" w:hAnsi="SimSun" w:hint="eastAsia"/>
          <w:color w:val="000000" w:themeColor="text1"/>
        </w:rPr>
        <w:t xml:space="preserve">　　为贯彻落实中央关于推进供给侧结构性改革的决策部署和习近平总书记关于供给侧结构性改革的一系列重要指示精神，充分发挥人民法院审判职能作用，为实施市场化破产程序创造条件，加快公司强制清算与企业破产案件审理工作，现就在中级人民法院设立清算与破产审判庭工作提出以下方案。</w:t>
      </w:r>
    </w:p>
    <w:p w14:paraId="6A1C4D11" w14:textId="77777777" w:rsidR="002068C9" w:rsidRPr="00070EE2" w:rsidRDefault="002068C9" w:rsidP="00070EE2">
      <w:pPr>
        <w:pStyle w:val="a3"/>
        <w:spacing w:before="0" w:beforeAutospacing="0" w:after="0" w:afterAutospacing="0" w:line="560" w:lineRule="exact"/>
        <w:rPr>
          <w:rFonts w:ascii="SimHei" w:eastAsia="SimHei" w:hAnsi="SimHei"/>
          <w:color w:val="000000" w:themeColor="text1"/>
        </w:rPr>
      </w:pPr>
      <w:r w:rsidRPr="00070EE2">
        <w:rPr>
          <w:rStyle w:val="a4"/>
          <w:rFonts w:ascii="SimSun" w:eastAsia="SimSun" w:hAnsi="SimSun" w:hint="eastAsia"/>
          <w:b w:val="0"/>
          <w:color w:val="000000" w:themeColor="text1"/>
        </w:rPr>
        <w:t xml:space="preserve">　　</w:t>
      </w:r>
      <w:r w:rsidRPr="00070EE2">
        <w:rPr>
          <w:rStyle w:val="a4"/>
          <w:rFonts w:ascii="SimHei" w:eastAsia="SimHei" w:hAnsi="SimHei" w:hint="eastAsia"/>
          <w:b w:val="0"/>
          <w:color w:val="000000" w:themeColor="text1"/>
        </w:rPr>
        <w:t>一、总体思路</w:t>
      </w:r>
    </w:p>
    <w:p w14:paraId="5AC56828" w14:textId="77777777" w:rsidR="002068C9" w:rsidRPr="00070EE2" w:rsidRDefault="002068C9" w:rsidP="00070EE2">
      <w:pPr>
        <w:pStyle w:val="a3"/>
        <w:spacing w:before="0" w:beforeAutospacing="0" w:after="0" w:afterAutospacing="0" w:line="560" w:lineRule="exact"/>
        <w:rPr>
          <w:rFonts w:ascii="SimSun" w:eastAsia="SimSun" w:hAnsi="SimSun"/>
          <w:color w:val="000000" w:themeColor="text1"/>
        </w:rPr>
      </w:pPr>
      <w:r w:rsidRPr="00070EE2">
        <w:rPr>
          <w:rFonts w:ascii="SimSun" w:eastAsia="SimSun" w:hAnsi="SimSun" w:hint="eastAsia"/>
          <w:color w:val="000000" w:themeColor="text1"/>
        </w:rPr>
        <w:t xml:space="preserve">　　一是落实党中央关于推进供给侧结构性改革的决策部署，健全公司强制清算与企业破产案件审判组织，配齐配强专业审判力量，加快公司强制清算与企业破产案件审理。二是提高公司强制清算与企业破产案件审理的专业化水平，统一裁判标准，提高案件审判质效。三是与司法责任制、人员分类管理、职业保障制度和内设机构改革有效衔接、同步推进。四是立足各地经济社会发展情况和法院实际，因地制宜，分类指导，稳步推进。</w:t>
      </w:r>
    </w:p>
    <w:p w14:paraId="62399E58" w14:textId="77777777" w:rsidR="002068C9" w:rsidRPr="00070EE2" w:rsidRDefault="002068C9" w:rsidP="00070EE2">
      <w:pPr>
        <w:pStyle w:val="a3"/>
        <w:spacing w:before="0" w:beforeAutospacing="0" w:after="0" w:afterAutospacing="0" w:line="560" w:lineRule="exact"/>
        <w:rPr>
          <w:rFonts w:ascii="SimHei" w:eastAsia="SimHei" w:hAnsi="SimHei"/>
          <w:color w:val="000000" w:themeColor="text1"/>
        </w:rPr>
      </w:pPr>
      <w:r w:rsidRPr="00070EE2">
        <w:rPr>
          <w:rStyle w:val="a4"/>
          <w:rFonts w:ascii="SimSun" w:eastAsia="SimSun" w:hAnsi="SimSun" w:hint="eastAsia"/>
          <w:b w:val="0"/>
          <w:color w:val="000000" w:themeColor="text1"/>
        </w:rPr>
        <w:t xml:space="preserve">　　</w:t>
      </w:r>
      <w:r w:rsidRPr="00070EE2">
        <w:rPr>
          <w:rStyle w:val="a4"/>
          <w:rFonts w:ascii="SimHei" w:eastAsia="SimHei" w:hAnsi="SimHei" w:hint="eastAsia"/>
          <w:b w:val="0"/>
          <w:color w:val="000000" w:themeColor="text1"/>
        </w:rPr>
        <w:t>二、设立范围</w:t>
      </w:r>
    </w:p>
    <w:p w14:paraId="577C91AD" w14:textId="77777777" w:rsidR="002068C9" w:rsidRPr="00070EE2" w:rsidRDefault="002068C9" w:rsidP="00070EE2">
      <w:pPr>
        <w:pStyle w:val="a3"/>
        <w:spacing w:before="0" w:beforeAutospacing="0" w:after="0" w:afterAutospacing="0" w:line="560" w:lineRule="exact"/>
        <w:rPr>
          <w:rFonts w:ascii="SimSun" w:eastAsia="SimSun" w:hAnsi="SimSun"/>
          <w:color w:val="000000" w:themeColor="text1"/>
        </w:rPr>
      </w:pPr>
      <w:r w:rsidRPr="00070EE2">
        <w:rPr>
          <w:rFonts w:ascii="SimSun" w:eastAsia="SimSun" w:hAnsi="SimSun" w:hint="eastAsia"/>
          <w:color w:val="000000" w:themeColor="text1"/>
        </w:rPr>
        <w:t xml:space="preserve">　　</w:t>
      </w:r>
      <w:r w:rsidRPr="00070EE2">
        <w:rPr>
          <w:rStyle w:val="a4"/>
          <w:rFonts w:ascii="SimSun" w:eastAsia="SimSun" w:hAnsi="SimSun" w:hint="eastAsia"/>
          <w:b w:val="0"/>
          <w:color w:val="000000" w:themeColor="text1"/>
        </w:rPr>
        <w:t>直辖市应当至少明确一个中级人民法院设立清算与破产审判庭，省会城市、副省级城市所在地中级人民法院应当设立清算与破产审判庭。</w:t>
      </w:r>
      <w:r w:rsidRPr="00070EE2">
        <w:rPr>
          <w:rFonts w:ascii="SimSun" w:eastAsia="SimSun" w:hAnsi="SimSun" w:hint="eastAsia"/>
          <w:color w:val="000000" w:themeColor="text1"/>
        </w:rPr>
        <w:t>其他中级人民法院是否设立清算与破产审判庭，由各省（区、市）高级人民法院会同省级机构编制部门，综合考虑经济社会发展水平、清算与破产案件数量、审判专业力量、破产管理人数量等因素，统筹安排。</w:t>
      </w:r>
    </w:p>
    <w:p w14:paraId="60ED6F6A" w14:textId="77777777" w:rsidR="002068C9" w:rsidRPr="00070EE2" w:rsidRDefault="002068C9" w:rsidP="00070EE2">
      <w:pPr>
        <w:pStyle w:val="a3"/>
        <w:spacing w:before="0" w:beforeAutospacing="0" w:after="0" w:afterAutospacing="0" w:line="560" w:lineRule="exact"/>
        <w:rPr>
          <w:rFonts w:ascii="SimSun" w:eastAsia="SimSun" w:hAnsi="SimSun"/>
          <w:color w:val="000000" w:themeColor="text1"/>
        </w:rPr>
      </w:pPr>
      <w:r w:rsidRPr="00070EE2">
        <w:rPr>
          <w:rFonts w:ascii="SimSun" w:eastAsia="SimSun" w:hAnsi="SimSun" w:hint="eastAsia"/>
          <w:color w:val="000000" w:themeColor="text1"/>
        </w:rPr>
        <w:t xml:space="preserve">　　根据各地经济发展水平、僵尸企业处置工作的实际需求、破产案件审判工作情况，</w:t>
      </w:r>
      <w:r w:rsidRPr="00070EE2">
        <w:rPr>
          <w:rStyle w:val="a4"/>
          <w:rFonts w:ascii="SimSun" w:eastAsia="SimSun" w:hAnsi="SimSun" w:hint="eastAsia"/>
          <w:b w:val="0"/>
          <w:color w:val="000000" w:themeColor="text1"/>
        </w:rPr>
        <w:t>首先在北京、上海、天津、重庆四个直辖市的一个中级人民法院以及</w:t>
      </w:r>
      <w:r w:rsidRPr="00070EE2">
        <w:rPr>
          <w:rStyle w:val="a4"/>
          <w:rFonts w:ascii="SimSun" w:eastAsia="SimSun" w:hAnsi="SimSun" w:hint="eastAsia"/>
          <w:b w:val="0"/>
          <w:color w:val="000000" w:themeColor="text1"/>
        </w:rPr>
        <w:lastRenderedPageBreak/>
        <w:t>河北、吉林、江苏、浙江、安徽、山东、河南、湖北、湖南、广东、四川等11个省的省会城市和副省级市中级人民法院设立清算与破产审判庭，于2016年7月底前完成。其余省（区）省会城市和副省级市中级人民法院于2016年12月底前完成清算与破产审判庭设立工作。</w:t>
      </w:r>
      <w:r w:rsidRPr="00070EE2">
        <w:rPr>
          <w:rFonts w:ascii="SimSun" w:eastAsia="SimSun" w:hAnsi="SimSun" w:hint="eastAsia"/>
          <w:color w:val="000000" w:themeColor="text1"/>
        </w:rPr>
        <w:t>设立清算与破产审判庭，不能突破中级人民法院原有内设机构总数。原有机构总数限额内调剂不了的，可以先行设立清算与破产审判庭，在下一步法院内设机构改革过程中调整到位。</w:t>
      </w:r>
    </w:p>
    <w:p w14:paraId="0FD81FFC" w14:textId="77777777" w:rsidR="002068C9" w:rsidRPr="00070EE2" w:rsidRDefault="002068C9" w:rsidP="00070EE2">
      <w:pPr>
        <w:pStyle w:val="a3"/>
        <w:spacing w:before="0" w:beforeAutospacing="0" w:after="0" w:afterAutospacing="0" w:line="560" w:lineRule="exact"/>
        <w:rPr>
          <w:rStyle w:val="a4"/>
          <w:rFonts w:ascii="SimHei" w:eastAsia="SimHei" w:hAnsi="SimHei"/>
        </w:rPr>
      </w:pPr>
      <w:r w:rsidRPr="00070EE2">
        <w:rPr>
          <w:rStyle w:val="a4"/>
          <w:rFonts w:ascii="SimSun" w:eastAsia="SimSun" w:hAnsi="SimSun" w:hint="eastAsia"/>
          <w:b w:val="0"/>
          <w:color w:val="000000" w:themeColor="text1"/>
        </w:rPr>
        <w:t xml:space="preserve">　　</w:t>
      </w:r>
      <w:r w:rsidRPr="00070EE2">
        <w:rPr>
          <w:rStyle w:val="a4"/>
          <w:rFonts w:ascii="SimHei" w:eastAsia="SimHei" w:hAnsi="SimHei" w:hint="eastAsia"/>
          <w:b w:val="0"/>
          <w:color w:val="000000" w:themeColor="text1"/>
        </w:rPr>
        <w:t>三、职能范围</w:t>
      </w:r>
    </w:p>
    <w:p w14:paraId="714FBE4A" w14:textId="77777777" w:rsidR="002068C9" w:rsidRPr="00070EE2" w:rsidRDefault="002068C9" w:rsidP="00070EE2">
      <w:pPr>
        <w:pStyle w:val="a3"/>
        <w:spacing w:before="0" w:beforeAutospacing="0" w:after="0" w:afterAutospacing="0" w:line="560" w:lineRule="exact"/>
        <w:rPr>
          <w:rFonts w:ascii="SimSun" w:eastAsia="SimSun" w:hAnsi="SimSun"/>
          <w:color w:val="000000" w:themeColor="text1"/>
        </w:rPr>
      </w:pPr>
      <w:r w:rsidRPr="00070EE2">
        <w:rPr>
          <w:rFonts w:ascii="SimSun" w:eastAsia="SimSun" w:hAnsi="SimSun" w:hint="eastAsia"/>
          <w:color w:val="000000" w:themeColor="text1"/>
        </w:rPr>
        <w:t xml:space="preserve">　　中级人民法院设立的清算与破产审判庭，职能范围主要包括：1.审理公司强制清算与企业破产案件；2.负责公司强制清算与企业破产案件审判工作的调研工作；3.对下级法院公司强制清算与企业破产案件审判工作进行业务指导；4.负责相关法院之间公司强制清算与企业破产案件的协调工作；5.负责破产管理人的管理、培训等相关工作。</w:t>
      </w:r>
    </w:p>
    <w:p w14:paraId="1B44227C" w14:textId="77777777" w:rsidR="002068C9" w:rsidRPr="00070EE2" w:rsidRDefault="002068C9" w:rsidP="00070EE2">
      <w:pPr>
        <w:pStyle w:val="a3"/>
        <w:spacing w:before="0" w:beforeAutospacing="0" w:after="0" w:afterAutospacing="0" w:line="560" w:lineRule="exact"/>
        <w:rPr>
          <w:rStyle w:val="a4"/>
          <w:rFonts w:ascii="SimHei" w:eastAsia="SimHei" w:hAnsi="SimHei"/>
        </w:rPr>
      </w:pPr>
      <w:r w:rsidRPr="00070EE2">
        <w:rPr>
          <w:rStyle w:val="a4"/>
          <w:rFonts w:ascii="SimSun" w:eastAsia="SimSun" w:hAnsi="SimSun" w:hint="eastAsia"/>
          <w:b w:val="0"/>
          <w:color w:val="000000" w:themeColor="text1"/>
        </w:rPr>
        <w:t xml:space="preserve">　　</w:t>
      </w:r>
      <w:r w:rsidRPr="00070EE2">
        <w:rPr>
          <w:rStyle w:val="a4"/>
          <w:rFonts w:ascii="SimHei" w:eastAsia="SimHei" w:hAnsi="SimHei" w:hint="eastAsia"/>
          <w:b w:val="0"/>
          <w:color w:val="000000" w:themeColor="text1"/>
        </w:rPr>
        <w:t>四、案件管辖</w:t>
      </w:r>
    </w:p>
    <w:p w14:paraId="1FEB9D6E" w14:textId="77777777" w:rsidR="002068C9" w:rsidRPr="00070EE2" w:rsidRDefault="002068C9" w:rsidP="00070EE2">
      <w:pPr>
        <w:pStyle w:val="a3"/>
        <w:spacing w:before="0" w:beforeAutospacing="0" w:after="0" w:afterAutospacing="0" w:line="560" w:lineRule="exact"/>
        <w:rPr>
          <w:rFonts w:ascii="SimSun" w:eastAsia="SimSun" w:hAnsi="SimSun"/>
          <w:color w:val="000000" w:themeColor="text1"/>
        </w:rPr>
      </w:pPr>
      <w:r w:rsidRPr="00070EE2">
        <w:rPr>
          <w:rFonts w:ascii="SimSun" w:eastAsia="SimSun" w:hAnsi="SimSun" w:hint="eastAsia"/>
          <w:color w:val="000000" w:themeColor="text1"/>
        </w:rPr>
        <w:t xml:space="preserve">　　中级人民法院设立的清算与破产审判庭一般管辖地（市）级以上（含本级）工商行政管理机关核准登记公司（企业）的强制清算与破产案件。省、自治区、直辖市范围内中级人民法院因特殊情况需对公司强制清算与企业破产案件的地域管辖作出调整的，须经当地高级人民法院批准。</w:t>
      </w:r>
    </w:p>
    <w:p w14:paraId="2D034926" w14:textId="77777777" w:rsidR="002068C9" w:rsidRPr="00070EE2" w:rsidRDefault="002068C9" w:rsidP="00070EE2">
      <w:pPr>
        <w:pStyle w:val="a3"/>
        <w:spacing w:before="0" w:beforeAutospacing="0" w:after="0" w:afterAutospacing="0" w:line="560" w:lineRule="exact"/>
        <w:rPr>
          <w:rStyle w:val="a4"/>
          <w:rFonts w:ascii="SimHei" w:eastAsia="SimHei" w:hAnsi="SimHei"/>
        </w:rPr>
      </w:pPr>
      <w:r w:rsidRPr="00070EE2">
        <w:rPr>
          <w:rStyle w:val="a4"/>
          <w:rFonts w:ascii="SimSun" w:eastAsia="SimSun" w:hAnsi="SimSun" w:hint="eastAsia"/>
          <w:b w:val="0"/>
          <w:color w:val="000000" w:themeColor="text1"/>
        </w:rPr>
        <w:t xml:space="preserve">　　</w:t>
      </w:r>
      <w:r w:rsidRPr="00070EE2">
        <w:rPr>
          <w:rStyle w:val="a4"/>
          <w:rFonts w:ascii="SimHei" w:eastAsia="SimHei" w:hAnsi="SimHei" w:hint="eastAsia"/>
          <w:b w:val="0"/>
          <w:color w:val="000000" w:themeColor="text1"/>
        </w:rPr>
        <w:t>五、人员配备</w:t>
      </w:r>
    </w:p>
    <w:p w14:paraId="7219F584" w14:textId="77777777" w:rsidR="002068C9" w:rsidRPr="00070EE2" w:rsidRDefault="002068C9" w:rsidP="00070EE2">
      <w:pPr>
        <w:pStyle w:val="a3"/>
        <w:spacing w:before="0" w:beforeAutospacing="0" w:after="0" w:afterAutospacing="0" w:line="560" w:lineRule="exact"/>
        <w:rPr>
          <w:rFonts w:ascii="SimSun" w:eastAsia="SimSun" w:hAnsi="SimSun"/>
          <w:color w:val="000000" w:themeColor="text1"/>
        </w:rPr>
      </w:pPr>
      <w:r w:rsidRPr="00070EE2">
        <w:rPr>
          <w:rFonts w:ascii="SimSun" w:eastAsia="SimSun" w:hAnsi="SimSun" w:hint="eastAsia"/>
          <w:color w:val="000000" w:themeColor="text1"/>
        </w:rPr>
        <w:t xml:space="preserve">　　按照扁平化管理和司法责任制改革要求，根据案件数量和岗位需要合理核定人员编制和法官员额，并可根据案件数量适当调整。法官原则上从本院或者下级法院具有公司强制清算与企业破产案件及相关案件审判经验的优秀法官中选任产生。一般按照1:1:1的比例为法官配备法官助理和书记员。设立清算与破产审判庭所需人员编制在现有编制内调剂解决。</w:t>
      </w:r>
    </w:p>
    <w:p w14:paraId="68ECCA6D" w14:textId="77777777" w:rsidR="002068C9" w:rsidRPr="00070EE2" w:rsidRDefault="002068C9" w:rsidP="00070EE2">
      <w:pPr>
        <w:pStyle w:val="a3"/>
        <w:spacing w:before="0" w:beforeAutospacing="0" w:after="0" w:afterAutospacing="0" w:line="560" w:lineRule="exact"/>
        <w:rPr>
          <w:rStyle w:val="a4"/>
          <w:rFonts w:ascii="SimHei" w:eastAsia="SimHei" w:hAnsi="SimHei"/>
        </w:rPr>
      </w:pPr>
      <w:r w:rsidRPr="00070EE2">
        <w:rPr>
          <w:rStyle w:val="a4"/>
          <w:rFonts w:ascii="SimSun" w:eastAsia="SimSun" w:hAnsi="SimSun" w:hint="eastAsia"/>
          <w:b w:val="0"/>
          <w:color w:val="000000" w:themeColor="text1"/>
        </w:rPr>
        <w:t xml:space="preserve">　　</w:t>
      </w:r>
      <w:bookmarkStart w:id="0" w:name="_GoBack"/>
      <w:r w:rsidRPr="00070EE2">
        <w:rPr>
          <w:rStyle w:val="a4"/>
          <w:rFonts w:ascii="SimHei" w:eastAsia="SimHei" w:hAnsi="SimHei" w:hint="eastAsia"/>
          <w:b w:val="0"/>
          <w:color w:val="000000" w:themeColor="text1"/>
        </w:rPr>
        <w:t>六、配套措施</w:t>
      </w:r>
    </w:p>
    <w:bookmarkEnd w:id="0"/>
    <w:p w14:paraId="5F1EB301" w14:textId="77777777" w:rsidR="002068C9" w:rsidRPr="00070EE2" w:rsidRDefault="002068C9" w:rsidP="00070EE2">
      <w:pPr>
        <w:pStyle w:val="a3"/>
        <w:spacing w:before="0" w:beforeAutospacing="0" w:after="0" w:afterAutospacing="0" w:line="560" w:lineRule="exact"/>
        <w:rPr>
          <w:rFonts w:ascii="SimSun" w:eastAsia="SimSun" w:hAnsi="SimSun"/>
          <w:color w:val="000000" w:themeColor="text1"/>
        </w:rPr>
      </w:pPr>
      <w:r w:rsidRPr="00070EE2">
        <w:rPr>
          <w:rFonts w:ascii="SimSun" w:eastAsia="SimSun" w:hAnsi="SimSun" w:hint="eastAsia"/>
          <w:color w:val="000000" w:themeColor="text1"/>
        </w:rPr>
        <w:t xml:space="preserve">　　要进一步完善公司强制清算与企业破产案件审判管理和考核办法，探索完善公司强制清算与企业破产案件快速审理机制，推动公司强制清算与企业破产案件审判方式改革。推进审判权运行机制改革，落实司法责任制，加强审判管理和监督，确保公正廉洁司法。</w:t>
      </w:r>
    </w:p>
    <w:p w14:paraId="37C60D6C" w14:textId="77777777" w:rsidR="002068C9" w:rsidRPr="00070EE2" w:rsidRDefault="002068C9" w:rsidP="00070EE2">
      <w:pPr>
        <w:pStyle w:val="a3"/>
        <w:spacing w:before="0" w:beforeAutospacing="0" w:after="0" w:afterAutospacing="0" w:line="560" w:lineRule="exact"/>
        <w:rPr>
          <w:rFonts w:ascii="SimSun" w:eastAsia="SimSun" w:hAnsi="SimSun"/>
          <w:color w:val="000000" w:themeColor="text1"/>
        </w:rPr>
      </w:pPr>
      <w:r w:rsidRPr="00070EE2">
        <w:rPr>
          <w:rFonts w:ascii="SimSun" w:eastAsia="SimSun" w:hAnsi="SimSun" w:hint="eastAsia"/>
          <w:color w:val="000000" w:themeColor="text1"/>
        </w:rPr>
        <w:t xml:space="preserve">　　各省（区、市）高级人民法院要主动就设立清算与破产审判庭工作向当地党委、政府汇报，积极争取党委、政府和有关部门的支持。改革中出现的重大问题要及时向最高人民法院报告。</w:t>
      </w:r>
    </w:p>
    <w:p w14:paraId="43FDBCD4" w14:textId="77777777" w:rsidR="00BE7504" w:rsidRPr="00070EE2" w:rsidRDefault="00070EE2" w:rsidP="00070EE2">
      <w:pPr>
        <w:spacing w:line="560" w:lineRule="exact"/>
        <w:rPr>
          <w:rFonts w:ascii="SimSun" w:eastAsia="SimSun" w:hAnsi="SimSun"/>
          <w:color w:val="000000" w:themeColor="text1"/>
        </w:rPr>
      </w:pPr>
    </w:p>
    <w:sectPr w:rsidR="00BE7504" w:rsidRPr="00070EE2" w:rsidSect="004A572F">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8"/>
    <w:family w:val="auto"/>
    <w:pitch w:val="variable"/>
    <w:sig w:usb0="A10102FF" w:usb1="38CF7CFA" w:usb2="00010016" w:usb3="00000000" w:csb0="0014000F" w:csb1="00000000"/>
  </w:font>
  <w:font w:name="Times New Roman">
    <w:panose1 w:val="02020603050405020304"/>
    <w:charset w:val="00"/>
    <w:family w:val="auto"/>
    <w:pitch w:val="variable"/>
    <w:sig w:usb0="E0002AFF" w:usb1="C0007841" w:usb2="00000009" w:usb3="00000000" w:csb0="000001FF" w:csb1="00000000"/>
  </w:font>
  <w:font w:name="方正小标宋_GBK">
    <w:altName w:val="Arial Unicode MS"/>
    <w:charset w:val="86"/>
    <w:family w:val="script"/>
    <w:pitch w:val="default"/>
    <w:sig w:usb0="00000001" w:usb1="080E0000" w:usb2="00000000" w:usb3="00000000" w:csb0="00040000" w:csb1="00000000"/>
  </w:font>
  <w:font w:name="SimSun">
    <w:panose1 w:val="02010600030101010101"/>
    <w:charset w:val="86"/>
    <w:family w:val="auto"/>
    <w:pitch w:val="variable"/>
    <w:sig w:usb0="00000003" w:usb1="288F0000" w:usb2="00000016" w:usb3="00000000" w:csb0="00040001" w:csb1="00000000"/>
  </w:font>
  <w:font w:name="Kai">
    <w:panose1 w:val="02000500000000000000"/>
    <w:charset w:val="00"/>
    <w:family w:val="auto"/>
    <w:pitch w:val="variable"/>
    <w:sig w:usb0="00000003" w:usb1="00000000" w:usb2="00000000" w:usb3="00000000" w:csb0="00000001" w:csb1="00000000"/>
  </w:font>
  <w:font w:name="KaiTi">
    <w:panose1 w:val="02010609060101010101"/>
    <w:charset w:val="86"/>
    <w:family w:val="auto"/>
    <w:pitch w:val="variable"/>
    <w:sig w:usb0="800002BF" w:usb1="38CF7CFA" w:usb2="00000016" w:usb3="00000000" w:csb0="00040001" w:csb1="00000000"/>
  </w:font>
  <w:font w:name="SimHei">
    <w:panose1 w:val="02010609060101010101"/>
    <w:charset w:val="88"/>
    <w:family w:val="auto"/>
    <w:pitch w:val="variable"/>
    <w:sig w:usb0="800002BF" w:usb1="38CF7CFA" w:usb2="00000016" w:usb3="00000000" w:csb0="001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8"/>
    <w:family w:val="auto"/>
    <w:pitch w:val="variable"/>
    <w:sig w:usb0="A10102FF" w:usb1="38CF7CFA" w:usb2="00010016" w:usb3="00000000" w:csb0="001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8C9"/>
    <w:rsid w:val="00070EE2"/>
    <w:rsid w:val="000B2EEA"/>
    <w:rsid w:val="002068C9"/>
    <w:rsid w:val="002566F3"/>
    <w:rsid w:val="004A572F"/>
    <w:rsid w:val="009C5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F0A5CF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68C9"/>
    <w:pPr>
      <w:widowControl/>
      <w:spacing w:before="100" w:beforeAutospacing="1" w:after="100" w:afterAutospacing="1"/>
      <w:jc w:val="left"/>
    </w:pPr>
    <w:rPr>
      <w:rFonts w:ascii="Times New Roman" w:hAnsi="Times New Roman" w:cs="Times New Roman"/>
      <w:kern w:val="0"/>
    </w:rPr>
  </w:style>
  <w:style w:type="character" w:styleId="a4">
    <w:name w:val="Strong"/>
    <w:basedOn w:val="a0"/>
    <w:uiPriority w:val="22"/>
    <w:qFormat/>
    <w:rsid w:val="002068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3102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223</Words>
  <Characters>1276</Characters>
  <Application>Microsoft Macintosh Word</Application>
  <DocSecurity>0</DocSecurity>
  <Lines>10</Lines>
  <Paragraphs>2</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陈瑶星</dc:creator>
  <cp:keywords/>
  <dc:description/>
  <cp:lastModifiedBy>陈瑶星</cp:lastModifiedBy>
  <cp:revision>2</cp:revision>
  <dcterms:created xsi:type="dcterms:W3CDTF">2017-11-20T15:30:00Z</dcterms:created>
  <dcterms:modified xsi:type="dcterms:W3CDTF">2017-11-23T11:48:00Z</dcterms:modified>
</cp:coreProperties>
</file>